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426" w:rsidRPr="005545BF" w:rsidRDefault="00EC6426" w:rsidP="00EC6426">
      <w:pPr>
        <w:shd w:val="clear" w:color="auto" w:fill="FFFFFF"/>
        <w:spacing w:before="100" w:beforeAutospacing="1" w:line="480" w:lineRule="auto"/>
        <w:rPr>
          <w:rFonts w:ascii="Times New Roman" w:eastAsia="Times New Roman" w:hAnsi="Times New Roman" w:cs="Times New Roman"/>
          <w:b/>
          <w:color w:val="2E2E2E"/>
          <w:sz w:val="24"/>
          <w:szCs w:val="24"/>
          <w:lang w:val="en-GB" w:eastAsia="en-GB"/>
        </w:rPr>
      </w:pPr>
      <w:r>
        <w:rPr>
          <w:rFonts w:ascii="Times New Roman" w:eastAsia="Times New Roman" w:hAnsi="Times New Roman" w:cs="Times New Roman"/>
          <w:b/>
          <w:color w:val="2E2E2E"/>
          <w:sz w:val="24"/>
          <w:szCs w:val="24"/>
          <w:lang w:val="en-GB" w:eastAsia="en-GB"/>
        </w:rPr>
        <w:t>NAVIGATING TRANSFER PRICING REGULATIONS; ENSURING COMPLIANCE AND MITIGATING RISKS*</w:t>
      </w:r>
    </w:p>
    <w:p w:rsidR="00EC6426" w:rsidRPr="00F24423" w:rsidRDefault="00EC6426" w:rsidP="00EC6426">
      <w:pPr>
        <w:shd w:val="clear" w:color="auto" w:fill="FFFFFF"/>
        <w:spacing w:before="100" w:beforeAutospacing="1" w:line="360" w:lineRule="auto"/>
        <w:rPr>
          <w:rFonts w:ascii="Times New Roman" w:eastAsia="Times New Roman" w:hAnsi="Times New Roman" w:cs="Times New Roman"/>
          <w:color w:val="2E2E2E"/>
          <w:sz w:val="24"/>
          <w:szCs w:val="24"/>
          <w:lang w:val="en-GB" w:eastAsia="en-GB"/>
        </w:rPr>
      </w:pPr>
      <w:r w:rsidRPr="00F24423">
        <w:rPr>
          <w:rFonts w:ascii="Times New Roman" w:eastAsia="Times New Roman" w:hAnsi="Times New Roman" w:cs="Times New Roman"/>
          <w:color w:val="2E2E2E"/>
          <w:sz w:val="24"/>
          <w:szCs w:val="24"/>
          <w:lang w:val="en-GB" w:eastAsia="en-GB"/>
        </w:rPr>
        <w:t>ABSTRACT</w:t>
      </w:r>
    </w:p>
    <w:p w:rsidR="00EC6426" w:rsidRPr="00EC7379" w:rsidRDefault="006D2922" w:rsidP="00801182">
      <w:pPr>
        <w:shd w:val="clear" w:color="auto" w:fill="FFFFFF"/>
        <w:spacing w:before="100" w:beforeAutospacing="1" w:line="240" w:lineRule="auto"/>
        <w:ind w:firstLine="720"/>
        <w:rPr>
          <w:rFonts w:ascii="Times New Roman" w:eastAsia="Times New Roman" w:hAnsi="Times New Roman" w:cs="Times New Roman"/>
          <w:color w:val="2E2E2E"/>
          <w:sz w:val="24"/>
          <w:szCs w:val="24"/>
          <w:lang w:val="en-GB" w:eastAsia="en-GB"/>
        </w:rPr>
      </w:pPr>
      <w:r>
        <w:rPr>
          <w:rFonts w:ascii="Times New Roman" w:eastAsia="Times New Roman" w:hAnsi="Times New Roman" w:cs="Times New Roman"/>
          <w:color w:val="2E2E2E"/>
          <w:sz w:val="24"/>
          <w:szCs w:val="24"/>
          <w:lang w:val="en-GB" w:eastAsia="en-GB"/>
        </w:rPr>
        <w:t xml:space="preserve">Transfer pricing </w:t>
      </w:r>
      <w:r w:rsidR="00EC6426" w:rsidRPr="00F24423">
        <w:rPr>
          <w:rFonts w:ascii="Times New Roman" w:eastAsia="Times New Roman" w:hAnsi="Times New Roman" w:cs="Times New Roman"/>
          <w:color w:val="2E2E2E"/>
          <w:sz w:val="24"/>
          <w:szCs w:val="24"/>
          <w:lang w:val="en-GB" w:eastAsia="en-GB"/>
        </w:rPr>
        <w:t>is a complex and significant aspect of international taxation and plays a crucial role in determining the allocation of profits and taxes across different jurisdictions.</w:t>
      </w:r>
      <w:r w:rsidR="00EC6426">
        <w:rPr>
          <w:rFonts w:ascii="Times New Roman" w:eastAsia="Times New Roman" w:hAnsi="Times New Roman" w:cs="Times New Roman"/>
          <w:color w:val="2E2E2E"/>
          <w:sz w:val="24"/>
          <w:szCs w:val="24"/>
          <w:lang w:val="en-GB" w:eastAsia="en-GB"/>
        </w:rPr>
        <w:t xml:space="preserve"> </w:t>
      </w:r>
      <w:r w:rsidR="00EC6426" w:rsidRPr="00F24423">
        <w:rPr>
          <w:rFonts w:ascii="Times New Roman" w:eastAsia="Times New Roman" w:hAnsi="Times New Roman" w:cs="Times New Roman"/>
          <w:color w:val="2E2E2E"/>
          <w:sz w:val="24"/>
          <w:szCs w:val="24"/>
          <w:lang w:val="en-GB" w:eastAsia="en-GB"/>
        </w:rPr>
        <w:t>The concept of transfer pricing arises from the need to ensure that intercompany transactions are conducted on an arm’s length basis, as if the transactions were between unrelated parties. This principle ensures fairness and minimizes the potential for tax avoidance and profit shifting</w:t>
      </w:r>
      <w:r>
        <w:rPr>
          <w:rFonts w:ascii="Times New Roman" w:eastAsia="Times New Roman" w:hAnsi="Times New Roman" w:cs="Times New Roman"/>
          <w:color w:val="2E2E2E"/>
          <w:sz w:val="24"/>
          <w:szCs w:val="24"/>
          <w:lang w:val="en-GB" w:eastAsia="en-GB"/>
        </w:rPr>
        <w:t>. T</w:t>
      </w:r>
      <w:r w:rsidR="00EC6426" w:rsidRPr="00F24423">
        <w:rPr>
          <w:rFonts w:ascii="Times New Roman" w:eastAsia="Times New Roman" w:hAnsi="Times New Roman" w:cs="Times New Roman"/>
          <w:color w:val="2E2E2E"/>
          <w:sz w:val="24"/>
          <w:szCs w:val="24"/>
          <w:lang w:val="en-GB" w:eastAsia="en-GB"/>
        </w:rPr>
        <w:t>he implications of transfer pricing extend beyond taxation, it affects trade policies, investment decisions and economic development as it deals with the allocation of profits and resources across jurisdictions.</w:t>
      </w:r>
      <w:r w:rsidR="00EC6426">
        <w:rPr>
          <w:rFonts w:ascii="Times New Roman" w:eastAsia="Times New Roman" w:hAnsi="Times New Roman" w:cs="Times New Roman"/>
          <w:color w:val="2E2E2E"/>
          <w:sz w:val="24"/>
          <w:szCs w:val="24"/>
          <w:lang w:val="en-GB" w:eastAsia="en-GB"/>
        </w:rPr>
        <w:t xml:space="preserve"> </w:t>
      </w:r>
      <w:r w:rsidR="00801182">
        <w:rPr>
          <w:rFonts w:ascii="Times New Roman" w:eastAsia="Times New Roman" w:hAnsi="Times New Roman" w:cs="Times New Roman"/>
          <w:color w:val="2E2E2E"/>
          <w:sz w:val="24"/>
          <w:szCs w:val="24"/>
          <w:lang w:val="en-GB" w:eastAsia="en-GB"/>
        </w:rPr>
        <w:t>T</w:t>
      </w:r>
      <w:r w:rsidR="00884CF5">
        <w:rPr>
          <w:rFonts w:ascii="Times New Roman" w:eastAsia="Times New Roman" w:hAnsi="Times New Roman" w:cs="Times New Roman"/>
          <w:color w:val="2E2E2E"/>
          <w:sz w:val="24"/>
          <w:szCs w:val="24"/>
          <w:lang w:val="en-GB" w:eastAsia="en-GB"/>
        </w:rPr>
        <w:t>his</w:t>
      </w:r>
      <w:r w:rsidR="00801182">
        <w:rPr>
          <w:rFonts w:ascii="Times New Roman" w:eastAsia="Times New Roman" w:hAnsi="Times New Roman" w:cs="Times New Roman"/>
          <w:color w:val="2E2E2E"/>
          <w:sz w:val="24"/>
          <w:szCs w:val="24"/>
          <w:lang w:val="en-GB" w:eastAsia="en-GB"/>
        </w:rPr>
        <w:t xml:space="preserve"> paper addresses the problem of manipulation of intercompany transactions and pricing by MNEs to shift profits artificially and minimiz</w:t>
      </w:r>
      <w:r w:rsidR="00C35412">
        <w:rPr>
          <w:rFonts w:ascii="Times New Roman" w:eastAsia="Times New Roman" w:hAnsi="Times New Roman" w:cs="Times New Roman"/>
          <w:color w:val="2E2E2E"/>
          <w:sz w:val="24"/>
          <w:szCs w:val="24"/>
          <w:lang w:val="en-GB" w:eastAsia="en-GB"/>
        </w:rPr>
        <w:t>e tax liabilities. This</w:t>
      </w:r>
      <w:r w:rsidR="00801182">
        <w:rPr>
          <w:rFonts w:ascii="Times New Roman" w:eastAsia="Times New Roman" w:hAnsi="Times New Roman" w:cs="Times New Roman"/>
          <w:color w:val="2E2E2E"/>
          <w:sz w:val="24"/>
          <w:szCs w:val="24"/>
          <w:lang w:val="en-GB" w:eastAsia="en-GB"/>
        </w:rPr>
        <w:t xml:space="preserve"> not only undermines the integrity of national tax systems, but also erodes public trust in corporate responsibility. The paper </w:t>
      </w:r>
      <w:r w:rsidR="00884CF5">
        <w:rPr>
          <w:rFonts w:ascii="Times New Roman" w:eastAsia="Times New Roman" w:hAnsi="Times New Roman" w:cs="Times New Roman"/>
          <w:color w:val="2E2E2E"/>
          <w:sz w:val="24"/>
          <w:szCs w:val="24"/>
          <w:lang w:val="en-GB" w:eastAsia="en-GB"/>
        </w:rPr>
        <w:t xml:space="preserve">further </w:t>
      </w:r>
      <w:r w:rsidR="00C35412">
        <w:rPr>
          <w:rFonts w:ascii="Times New Roman" w:eastAsia="Times New Roman" w:hAnsi="Times New Roman" w:cs="Times New Roman"/>
          <w:color w:val="2E2E2E"/>
          <w:sz w:val="24"/>
          <w:szCs w:val="24"/>
          <w:lang w:val="en-GB" w:eastAsia="en-GB"/>
        </w:rPr>
        <w:t>examines the</w:t>
      </w:r>
      <w:r w:rsidR="00801182">
        <w:rPr>
          <w:rFonts w:ascii="Times New Roman" w:eastAsia="Times New Roman" w:hAnsi="Times New Roman" w:cs="Times New Roman"/>
          <w:color w:val="2E2E2E"/>
          <w:sz w:val="24"/>
          <w:szCs w:val="24"/>
          <w:lang w:val="en-GB" w:eastAsia="en-GB"/>
        </w:rPr>
        <w:t xml:space="preserve"> role of the arm’s length </w:t>
      </w:r>
      <w:r w:rsidR="00C35412">
        <w:rPr>
          <w:rFonts w:ascii="Times New Roman" w:eastAsia="Times New Roman" w:hAnsi="Times New Roman" w:cs="Times New Roman"/>
          <w:color w:val="2E2E2E"/>
          <w:sz w:val="24"/>
          <w:szCs w:val="24"/>
          <w:lang w:val="en-GB" w:eastAsia="en-GB"/>
        </w:rPr>
        <w:t xml:space="preserve">principle, in ensuring </w:t>
      </w:r>
      <w:r w:rsidR="00801182">
        <w:rPr>
          <w:rFonts w:ascii="Times New Roman" w:eastAsia="Times New Roman" w:hAnsi="Times New Roman" w:cs="Times New Roman"/>
          <w:color w:val="2E2E2E"/>
          <w:sz w:val="24"/>
          <w:szCs w:val="24"/>
          <w:lang w:val="en-GB" w:eastAsia="en-GB"/>
        </w:rPr>
        <w:t>that transactions between related entities within MNEs are conducted</w:t>
      </w:r>
      <w:r w:rsidR="00C35412">
        <w:rPr>
          <w:rFonts w:ascii="Times New Roman" w:eastAsia="Times New Roman" w:hAnsi="Times New Roman" w:cs="Times New Roman"/>
          <w:color w:val="2E2E2E"/>
          <w:sz w:val="24"/>
          <w:szCs w:val="24"/>
          <w:lang w:val="en-GB" w:eastAsia="en-GB"/>
        </w:rPr>
        <w:t xml:space="preserve"> at prices akin to those </w:t>
      </w:r>
      <w:r w:rsidR="00303706">
        <w:rPr>
          <w:rFonts w:ascii="Times New Roman" w:eastAsia="Times New Roman" w:hAnsi="Times New Roman" w:cs="Times New Roman"/>
          <w:color w:val="2E2E2E"/>
          <w:sz w:val="24"/>
          <w:szCs w:val="24"/>
          <w:lang w:val="en-GB" w:eastAsia="en-GB"/>
        </w:rPr>
        <w:t>between independent parties</w:t>
      </w:r>
      <w:r w:rsidR="00EC6426">
        <w:rPr>
          <w:rFonts w:ascii="Times New Roman" w:eastAsia="Times New Roman" w:hAnsi="Times New Roman" w:cs="Times New Roman"/>
          <w:color w:val="2E2E2E"/>
          <w:sz w:val="24"/>
          <w:szCs w:val="24"/>
          <w:lang w:val="en-GB" w:eastAsia="en-GB"/>
        </w:rPr>
        <w:t>.</w:t>
      </w:r>
      <w:r>
        <w:rPr>
          <w:rFonts w:ascii="Times New Roman" w:eastAsia="Times New Roman" w:hAnsi="Times New Roman" w:cs="Times New Roman"/>
          <w:color w:val="2E2E2E"/>
          <w:sz w:val="24"/>
          <w:szCs w:val="24"/>
          <w:lang w:val="en-GB" w:eastAsia="en-GB"/>
        </w:rPr>
        <w:t xml:space="preserve"> </w:t>
      </w:r>
      <w:r w:rsidR="00EC6426">
        <w:rPr>
          <w:rFonts w:ascii="Times New Roman" w:eastAsia="Times New Roman" w:hAnsi="Times New Roman" w:cs="Times New Roman"/>
          <w:color w:val="2E2E2E"/>
          <w:sz w:val="24"/>
          <w:szCs w:val="24"/>
          <w:lang w:val="en-GB" w:eastAsia="en-GB"/>
        </w:rPr>
        <w:t>It recommends</w:t>
      </w:r>
      <w:r w:rsidR="00EC6426" w:rsidRPr="00F731B5">
        <w:rPr>
          <w:rFonts w:ascii="Times New Roman" w:hAnsi="Times New Roman" w:cs="Times New Roman"/>
          <w:sz w:val="24"/>
          <w:szCs w:val="24"/>
        </w:rPr>
        <w:t xml:space="preserve"> </w:t>
      </w:r>
      <w:r w:rsidR="00EC6426">
        <w:rPr>
          <w:rFonts w:ascii="Times New Roman" w:hAnsi="Times New Roman" w:cs="Times New Roman"/>
          <w:sz w:val="24"/>
          <w:szCs w:val="24"/>
        </w:rPr>
        <w:t>compliance with transfer pricing regula</w:t>
      </w:r>
      <w:r w:rsidR="00C35412">
        <w:rPr>
          <w:rFonts w:ascii="Times New Roman" w:hAnsi="Times New Roman" w:cs="Times New Roman"/>
          <w:sz w:val="24"/>
          <w:szCs w:val="24"/>
        </w:rPr>
        <w:t>tions</w:t>
      </w:r>
      <w:r w:rsidR="00EC6426">
        <w:rPr>
          <w:rFonts w:ascii="Times New Roman" w:hAnsi="Times New Roman" w:cs="Times New Roman"/>
          <w:sz w:val="24"/>
          <w:szCs w:val="24"/>
        </w:rPr>
        <w:t xml:space="preserve"> to avoid l</w:t>
      </w:r>
      <w:r w:rsidR="00884CF5">
        <w:rPr>
          <w:rFonts w:ascii="Times New Roman" w:hAnsi="Times New Roman" w:cs="Times New Roman"/>
          <w:sz w:val="24"/>
          <w:szCs w:val="24"/>
        </w:rPr>
        <w:t>egal and financial consequences as n</w:t>
      </w:r>
      <w:r w:rsidR="00EC6426">
        <w:rPr>
          <w:rFonts w:ascii="Times New Roman" w:hAnsi="Times New Roman" w:cs="Times New Roman"/>
          <w:sz w:val="24"/>
          <w:szCs w:val="24"/>
        </w:rPr>
        <w:t>on-compliance can lead to au</w:t>
      </w:r>
      <w:r w:rsidR="007D3F05">
        <w:rPr>
          <w:rFonts w:ascii="Times New Roman" w:hAnsi="Times New Roman" w:cs="Times New Roman"/>
          <w:sz w:val="24"/>
          <w:szCs w:val="24"/>
        </w:rPr>
        <w:t>dits, penalties</w:t>
      </w:r>
      <w:r w:rsidR="00EC6426">
        <w:rPr>
          <w:rFonts w:ascii="Times New Roman" w:hAnsi="Times New Roman" w:cs="Times New Roman"/>
          <w:sz w:val="24"/>
          <w:szCs w:val="24"/>
        </w:rPr>
        <w:t xml:space="preserve"> and reputational damage. Therefore, it is </w:t>
      </w:r>
      <w:r w:rsidR="007D3F05">
        <w:rPr>
          <w:rFonts w:ascii="Times New Roman" w:hAnsi="Times New Roman" w:cs="Times New Roman"/>
          <w:sz w:val="24"/>
          <w:szCs w:val="24"/>
        </w:rPr>
        <w:t>imperative for MNEs to</w:t>
      </w:r>
      <w:r w:rsidR="00EC6426">
        <w:rPr>
          <w:rFonts w:ascii="Times New Roman" w:hAnsi="Times New Roman" w:cs="Times New Roman"/>
          <w:sz w:val="24"/>
          <w:szCs w:val="24"/>
        </w:rPr>
        <w:t xml:space="preserve"> maintain accurate documentation and conduct thorough analysis to demonstrate that their transfer pricing practices are consistent with the arm’s length principle. The doctrinal </w:t>
      </w:r>
      <w:r w:rsidR="00584734">
        <w:rPr>
          <w:rFonts w:ascii="Times New Roman" w:hAnsi="Times New Roman" w:cs="Times New Roman"/>
          <w:sz w:val="24"/>
          <w:szCs w:val="24"/>
        </w:rPr>
        <w:t>method of research is adopted</w:t>
      </w:r>
      <w:r w:rsidR="00EC6426">
        <w:rPr>
          <w:rFonts w:ascii="Times New Roman" w:hAnsi="Times New Roman" w:cs="Times New Roman"/>
          <w:sz w:val="24"/>
          <w:szCs w:val="24"/>
        </w:rPr>
        <w:t>, relying mostly on Policies, Regulations, Statutes and Guidelines.</w:t>
      </w:r>
    </w:p>
    <w:p w:rsidR="00EC6426" w:rsidRDefault="00EC6426" w:rsidP="000D2BBB">
      <w:pPr>
        <w:shd w:val="clear" w:color="auto" w:fill="FFFFFF"/>
        <w:spacing w:before="100" w:beforeAutospacing="1" w:line="240" w:lineRule="auto"/>
        <w:rPr>
          <w:rFonts w:ascii="Times New Roman" w:eastAsia="Times New Roman" w:hAnsi="Times New Roman" w:cs="Times New Roman"/>
          <w:color w:val="2E2E2E"/>
          <w:sz w:val="24"/>
          <w:szCs w:val="24"/>
          <w:lang w:val="en-GB" w:eastAsia="en-GB"/>
        </w:rPr>
      </w:pPr>
      <w:r w:rsidRPr="00CD1C1A">
        <w:rPr>
          <w:rFonts w:ascii="Times New Roman" w:eastAsia="Times New Roman" w:hAnsi="Times New Roman" w:cs="Times New Roman"/>
          <w:b/>
          <w:color w:val="2E2E2E"/>
          <w:sz w:val="24"/>
          <w:szCs w:val="24"/>
          <w:lang w:val="en-GB" w:eastAsia="en-GB"/>
        </w:rPr>
        <w:t>Key words:</w:t>
      </w:r>
      <w:r>
        <w:rPr>
          <w:rFonts w:ascii="Times New Roman" w:eastAsia="Times New Roman" w:hAnsi="Times New Roman" w:cs="Times New Roman"/>
          <w:color w:val="2E2E2E"/>
          <w:sz w:val="24"/>
          <w:szCs w:val="24"/>
          <w:lang w:val="en-GB" w:eastAsia="en-GB"/>
        </w:rPr>
        <w:t xml:space="preserve"> Arm’s Length</w:t>
      </w:r>
      <w:r w:rsidR="00884CF5">
        <w:rPr>
          <w:rFonts w:ascii="Times New Roman" w:eastAsia="Times New Roman" w:hAnsi="Times New Roman" w:cs="Times New Roman"/>
          <w:color w:val="2E2E2E"/>
          <w:sz w:val="24"/>
          <w:szCs w:val="24"/>
          <w:lang w:val="en-GB" w:eastAsia="en-GB"/>
        </w:rPr>
        <w:t xml:space="preserve"> Principle</w:t>
      </w:r>
      <w:r>
        <w:rPr>
          <w:rFonts w:ascii="Times New Roman" w:eastAsia="Times New Roman" w:hAnsi="Times New Roman" w:cs="Times New Roman"/>
          <w:color w:val="2E2E2E"/>
          <w:sz w:val="24"/>
          <w:szCs w:val="24"/>
          <w:lang w:val="en-GB" w:eastAsia="en-GB"/>
        </w:rPr>
        <w:t>, Multinational Corporations/Enterprises (MNCs and MNEs), Regulations and Transfer Pricing.</w:t>
      </w:r>
    </w:p>
    <w:p w:rsidR="000D2BBB" w:rsidRDefault="000D2BBB" w:rsidP="000D2BBB">
      <w:pPr>
        <w:shd w:val="clear" w:color="auto" w:fill="FFFFFF"/>
        <w:spacing w:before="100" w:beforeAutospacing="1" w:line="240" w:lineRule="auto"/>
        <w:rPr>
          <w:rFonts w:ascii="Times New Roman" w:eastAsia="Times New Roman" w:hAnsi="Times New Roman" w:cs="Times New Roman"/>
          <w:color w:val="2E2E2E"/>
          <w:sz w:val="24"/>
          <w:szCs w:val="24"/>
          <w:lang w:val="en-GB" w:eastAsia="en-GB"/>
        </w:rPr>
      </w:pPr>
    </w:p>
    <w:p w:rsidR="000D2BBB" w:rsidRDefault="000D2BBB" w:rsidP="000D2BBB">
      <w:pPr>
        <w:shd w:val="clear" w:color="auto" w:fill="FFFFFF"/>
        <w:spacing w:before="100" w:beforeAutospacing="1" w:line="240" w:lineRule="auto"/>
        <w:rPr>
          <w:rFonts w:ascii="Times New Roman" w:eastAsia="Times New Roman" w:hAnsi="Times New Roman" w:cs="Times New Roman"/>
          <w:color w:val="2E2E2E"/>
          <w:sz w:val="24"/>
          <w:szCs w:val="24"/>
          <w:lang w:val="en-GB" w:eastAsia="en-GB"/>
        </w:rPr>
      </w:pPr>
    </w:p>
    <w:p w:rsidR="000D2BBB" w:rsidRDefault="000D2BBB" w:rsidP="000D2BBB">
      <w:pPr>
        <w:shd w:val="clear" w:color="auto" w:fill="FFFFFF"/>
        <w:spacing w:before="100" w:beforeAutospacing="1" w:line="240" w:lineRule="auto"/>
        <w:rPr>
          <w:rFonts w:ascii="Times New Roman" w:eastAsia="Times New Roman" w:hAnsi="Times New Roman" w:cs="Times New Roman"/>
          <w:color w:val="2E2E2E"/>
          <w:sz w:val="24"/>
          <w:szCs w:val="24"/>
          <w:lang w:val="en-GB" w:eastAsia="en-GB"/>
        </w:rPr>
      </w:pPr>
    </w:p>
    <w:p w:rsidR="000D2BBB" w:rsidRDefault="000D2BBB" w:rsidP="000D2BBB">
      <w:pPr>
        <w:shd w:val="clear" w:color="auto" w:fill="FFFFFF"/>
        <w:spacing w:before="100" w:beforeAutospacing="1" w:line="240" w:lineRule="auto"/>
        <w:rPr>
          <w:rFonts w:ascii="Times New Roman" w:eastAsia="Times New Roman" w:hAnsi="Times New Roman" w:cs="Times New Roman"/>
          <w:color w:val="2E2E2E"/>
          <w:sz w:val="24"/>
          <w:szCs w:val="24"/>
          <w:lang w:val="en-GB" w:eastAsia="en-GB"/>
        </w:rPr>
      </w:pPr>
    </w:p>
    <w:p w:rsidR="000D2BBB" w:rsidRDefault="000D2BBB" w:rsidP="000D2BBB">
      <w:pPr>
        <w:shd w:val="clear" w:color="auto" w:fill="FFFFFF"/>
        <w:spacing w:before="100" w:beforeAutospacing="1" w:line="240" w:lineRule="auto"/>
        <w:rPr>
          <w:rFonts w:ascii="Times New Roman" w:eastAsia="Times New Roman" w:hAnsi="Times New Roman" w:cs="Times New Roman"/>
          <w:color w:val="2E2E2E"/>
          <w:sz w:val="24"/>
          <w:szCs w:val="24"/>
          <w:lang w:val="en-GB" w:eastAsia="en-GB"/>
        </w:rPr>
      </w:pPr>
    </w:p>
    <w:p w:rsidR="000D2BBB" w:rsidRDefault="000D2BBB" w:rsidP="000D2BBB">
      <w:pPr>
        <w:shd w:val="clear" w:color="auto" w:fill="FFFFFF"/>
        <w:spacing w:before="100" w:beforeAutospacing="1" w:line="240" w:lineRule="auto"/>
        <w:rPr>
          <w:rFonts w:ascii="Times New Roman" w:eastAsia="Times New Roman" w:hAnsi="Times New Roman" w:cs="Times New Roman"/>
          <w:color w:val="2E2E2E"/>
          <w:sz w:val="24"/>
          <w:szCs w:val="24"/>
          <w:lang w:val="en-GB" w:eastAsia="en-GB"/>
        </w:rPr>
      </w:pPr>
    </w:p>
    <w:p w:rsidR="00917794" w:rsidRDefault="00917794" w:rsidP="000D2BBB">
      <w:pPr>
        <w:shd w:val="clear" w:color="auto" w:fill="FFFFFF"/>
        <w:spacing w:before="100" w:beforeAutospacing="1" w:line="240" w:lineRule="auto"/>
        <w:rPr>
          <w:rFonts w:ascii="Times New Roman" w:eastAsia="Times New Roman" w:hAnsi="Times New Roman" w:cs="Times New Roman"/>
          <w:color w:val="2E2E2E"/>
          <w:sz w:val="24"/>
          <w:szCs w:val="24"/>
          <w:lang w:val="en-GB" w:eastAsia="en-GB"/>
        </w:rPr>
      </w:pPr>
    </w:p>
    <w:p w:rsidR="00917794" w:rsidRDefault="00917794" w:rsidP="000D2BBB">
      <w:pPr>
        <w:shd w:val="clear" w:color="auto" w:fill="FFFFFF"/>
        <w:spacing w:before="100" w:beforeAutospacing="1" w:line="240" w:lineRule="auto"/>
        <w:rPr>
          <w:rFonts w:ascii="Times New Roman" w:eastAsia="Times New Roman" w:hAnsi="Times New Roman" w:cs="Times New Roman"/>
          <w:color w:val="2E2E2E"/>
          <w:sz w:val="24"/>
          <w:szCs w:val="24"/>
          <w:lang w:val="en-GB" w:eastAsia="en-GB"/>
        </w:rPr>
      </w:pPr>
    </w:p>
    <w:p w:rsidR="000D2BBB" w:rsidRPr="00EC7379" w:rsidRDefault="000D2BBB" w:rsidP="000D2BBB">
      <w:pPr>
        <w:shd w:val="clear" w:color="auto" w:fill="FFFFFF"/>
        <w:spacing w:before="100" w:beforeAutospacing="1" w:line="240" w:lineRule="auto"/>
        <w:rPr>
          <w:rFonts w:ascii="Times New Roman" w:eastAsia="Times New Roman" w:hAnsi="Times New Roman" w:cs="Times New Roman"/>
          <w:color w:val="2E2E2E"/>
          <w:sz w:val="24"/>
          <w:szCs w:val="24"/>
          <w:lang w:val="en-GB" w:eastAsia="en-GB"/>
        </w:rPr>
      </w:pPr>
    </w:p>
    <w:p w:rsidR="00EC6426" w:rsidRDefault="00584734" w:rsidP="00EC6426">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1.1 </w:t>
      </w:r>
      <w:r w:rsidR="00EC6426">
        <w:rPr>
          <w:rFonts w:ascii="Times New Roman" w:hAnsi="Times New Roman" w:cs="Times New Roman"/>
          <w:b/>
          <w:sz w:val="24"/>
          <w:szCs w:val="24"/>
        </w:rPr>
        <w:t>INTRODUCTION</w:t>
      </w:r>
    </w:p>
    <w:p w:rsidR="00EC6426" w:rsidRDefault="00EC6426" w:rsidP="00EC6426">
      <w:pPr>
        <w:spacing w:line="360" w:lineRule="auto"/>
        <w:jc w:val="both"/>
        <w:rPr>
          <w:rFonts w:ascii="Times New Roman" w:hAnsi="Times New Roman" w:cs="Times New Roman"/>
          <w:sz w:val="24"/>
          <w:szCs w:val="24"/>
        </w:rPr>
      </w:pPr>
      <w:r>
        <w:rPr>
          <w:rFonts w:ascii="Times New Roman" w:hAnsi="Times New Roman" w:cs="Times New Roman"/>
          <w:sz w:val="24"/>
          <w:szCs w:val="24"/>
        </w:rPr>
        <w:t>Transfer pricing has emerged as a critica</w:t>
      </w:r>
      <w:r w:rsidR="004B3E11">
        <w:rPr>
          <w:rFonts w:ascii="Times New Roman" w:hAnsi="Times New Roman" w:cs="Times New Roman"/>
          <w:sz w:val="24"/>
          <w:szCs w:val="24"/>
        </w:rPr>
        <w:t>l area of concern in</w:t>
      </w:r>
      <w:r>
        <w:rPr>
          <w:rFonts w:ascii="Times New Roman" w:hAnsi="Times New Roman" w:cs="Times New Roman"/>
          <w:sz w:val="24"/>
          <w:szCs w:val="24"/>
        </w:rPr>
        <w:t xml:space="preserve"> International Taxation and Corporate Law. As Multinational Corporations (MNCs) expand their operations across borders, the pricing of intercompany transactions between related entities becomes an important area for tax authorities seeking to prevent profit shifting and ensure a fair distribution of taxable income. These intercompany transactions involve the transfer of goods, services and intangible assets raising the important issue of transfer pricing. Transfer pricing plays a significant role in determining how profits and taxes are allocated among different jurisdictions. By manipulating transfer prices, companies can potentially shift p</w:t>
      </w:r>
      <w:r w:rsidR="006429B3">
        <w:rPr>
          <w:rFonts w:ascii="Times New Roman" w:hAnsi="Times New Roman" w:cs="Times New Roman"/>
          <w:sz w:val="24"/>
          <w:szCs w:val="24"/>
        </w:rPr>
        <w:t>rofits to low tax jurisdictions and</w:t>
      </w:r>
      <w:r>
        <w:rPr>
          <w:rFonts w:ascii="Times New Roman" w:hAnsi="Times New Roman" w:cs="Times New Roman"/>
          <w:sz w:val="24"/>
          <w:szCs w:val="24"/>
        </w:rPr>
        <w:t xml:space="preserve"> minimizing their overall tax burden.</w:t>
      </w:r>
      <w:r w:rsidR="00C5586E">
        <w:rPr>
          <w:rFonts w:ascii="Times New Roman" w:hAnsi="Times New Roman" w:cs="Times New Roman"/>
          <w:sz w:val="24"/>
          <w:szCs w:val="24"/>
        </w:rPr>
        <w:t xml:space="preserve"> </w:t>
      </w:r>
      <w:r>
        <w:rPr>
          <w:rFonts w:ascii="Times New Roman" w:hAnsi="Times New Roman" w:cs="Times New Roman"/>
          <w:sz w:val="24"/>
          <w:szCs w:val="24"/>
        </w:rPr>
        <w:t>Consequently, transfer pricing has become an area of great importance for tax authorities worldwide, seeking to prevent tax evasion and ensure a fair distribution of taxable profits.</w:t>
      </w:r>
    </w:p>
    <w:p w:rsidR="00EC6426" w:rsidRDefault="00EC6426" w:rsidP="00EC642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regulate transfer pricing practices and prevent abusive </w:t>
      </w:r>
      <w:proofErr w:type="spellStart"/>
      <w:r>
        <w:rPr>
          <w:rFonts w:ascii="Times New Roman" w:hAnsi="Times New Roman" w:cs="Times New Roman"/>
          <w:sz w:val="24"/>
          <w:szCs w:val="24"/>
        </w:rPr>
        <w:t>behaviours</w:t>
      </w:r>
      <w:proofErr w:type="spellEnd"/>
      <w:r>
        <w:rPr>
          <w:rFonts w:ascii="Times New Roman" w:hAnsi="Times New Roman" w:cs="Times New Roman"/>
          <w:sz w:val="24"/>
          <w:szCs w:val="24"/>
        </w:rPr>
        <w:t>, countries have established regulations and guidelines that align with international standards set by organizations like the Organization for Economic Co-operation and Development (OECD). These regulations aim to provide a framework for determining transfer prices based on comparable transactions and ensuring transparency in multinational business operations. Transfer pricing is however, a complex and constantly evolving field involving economic, legal and financial considerations. It requires careful analysis, documentation and compliance with local regulations to mitigate tax related risks and maintain trust between taxpayers and tax authorities as effective transfer pricing practices can bring enormous benefits to both governments and Multinational Corporations (MNCs).</w:t>
      </w:r>
    </w:p>
    <w:p w:rsidR="00EC6426" w:rsidRDefault="00EC6426" w:rsidP="00EC642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Thus, </w:t>
      </w:r>
      <w:r w:rsidR="004B3E11">
        <w:rPr>
          <w:rFonts w:ascii="Times New Roman" w:hAnsi="Times New Roman" w:cs="Times New Roman"/>
          <w:sz w:val="24"/>
          <w:szCs w:val="24"/>
        </w:rPr>
        <w:t>this</w:t>
      </w:r>
      <w:r w:rsidR="006157CF">
        <w:rPr>
          <w:rFonts w:ascii="Times New Roman" w:hAnsi="Times New Roman" w:cs="Times New Roman"/>
          <w:sz w:val="24"/>
          <w:szCs w:val="24"/>
        </w:rPr>
        <w:t xml:space="preserve"> paper addresses the legal challenge posed by the evolving nature of transfer pricing regulations and the need for MNCs</w:t>
      </w:r>
      <w:r w:rsidR="00B0152B">
        <w:rPr>
          <w:rFonts w:ascii="Times New Roman" w:hAnsi="Times New Roman" w:cs="Times New Roman"/>
          <w:sz w:val="24"/>
          <w:szCs w:val="24"/>
        </w:rPr>
        <w:t xml:space="preserve">, tax professionals, policy makers and anyone interested in the interplay between international business and taxation </w:t>
      </w:r>
      <w:r w:rsidR="006157CF">
        <w:rPr>
          <w:rFonts w:ascii="Times New Roman" w:hAnsi="Times New Roman" w:cs="Times New Roman"/>
          <w:sz w:val="24"/>
          <w:szCs w:val="24"/>
        </w:rPr>
        <w:t>to stay informed about changes in international and local regulations to ensure complianc</w:t>
      </w:r>
      <w:r w:rsidR="00B0152B">
        <w:rPr>
          <w:rFonts w:ascii="Times New Roman" w:hAnsi="Times New Roman" w:cs="Times New Roman"/>
          <w:sz w:val="24"/>
          <w:szCs w:val="24"/>
        </w:rPr>
        <w:t>e and avoid legal complications and also by exploring</w:t>
      </w:r>
      <w:r>
        <w:rPr>
          <w:rFonts w:ascii="Times New Roman" w:hAnsi="Times New Roman" w:cs="Times New Roman"/>
          <w:sz w:val="24"/>
          <w:szCs w:val="24"/>
        </w:rPr>
        <w:t xml:space="preserve"> the intricacies of transfer pricing, valuable insights can be gotten into the challenges, strategies and implications associated with cross border transactions within multinational enterprises.</w:t>
      </w:r>
    </w:p>
    <w:p w:rsidR="00584734" w:rsidRDefault="00584734" w:rsidP="00EC6426">
      <w:pPr>
        <w:spacing w:line="360" w:lineRule="auto"/>
        <w:jc w:val="both"/>
        <w:rPr>
          <w:rFonts w:ascii="Times New Roman" w:hAnsi="Times New Roman" w:cs="Times New Roman"/>
          <w:sz w:val="24"/>
          <w:szCs w:val="24"/>
        </w:rPr>
      </w:pPr>
    </w:p>
    <w:p w:rsidR="004B3E11" w:rsidRDefault="004B3E11" w:rsidP="00EC6426">
      <w:pPr>
        <w:spacing w:line="360" w:lineRule="auto"/>
        <w:jc w:val="both"/>
        <w:rPr>
          <w:rFonts w:ascii="Times New Roman" w:hAnsi="Times New Roman" w:cs="Times New Roman"/>
          <w:sz w:val="24"/>
          <w:szCs w:val="24"/>
        </w:rPr>
      </w:pPr>
    </w:p>
    <w:p w:rsidR="00EC6426" w:rsidRDefault="00273D98" w:rsidP="00EC6426">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1.2 </w:t>
      </w:r>
      <w:r w:rsidR="00EC6426">
        <w:rPr>
          <w:rFonts w:ascii="Times New Roman" w:hAnsi="Times New Roman" w:cs="Times New Roman"/>
          <w:b/>
          <w:sz w:val="24"/>
          <w:szCs w:val="24"/>
        </w:rPr>
        <w:t>THE CONCEPT</w:t>
      </w:r>
      <w:r w:rsidR="008B3C6D">
        <w:rPr>
          <w:rFonts w:ascii="Times New Roman" w:hAnsi="Times New Roman" w:cs="Times New Roman"/>
          <w:b/>
          <w:sz w:val="24"/>
          <w:szCs w:val="24"/>
        </w:rPr>
        <w:t>S</w:t>
      </w:r>
      <w:r w:rsidR="00EC6426">
        <w:rPr>
          <w:rFonts w:ascii="Times New Roman" w:hAnsi="Times New Roman" w:cs="Times New Roman"/>
          <w:b/>
          <w:sz w:val="24"/>
          <w:szCs w:val="24"/>
        </w:rPr>
        <w:t xml:space="preserve"> OF TRANSFER PRICING</w:t>
      </w:r>
      <w:r w:rsidR="008B3C6D">
        <w:rPr>
          <w:rFonts w:ascii="Times New Roman" w:hAnsi="Times New Roman" w:cs="Times New Roman"/>
          <w:b/>
          <w:sz w:val="24"/>
          <w:szCs w:val="24"/>
        </w:rPr>
        <w:t xml:space="preserve"> AND ARM’S LENGTH PRINCIPLE</w:t>
      </w:r>
    </w:p>
    <w:p w:rsidR="008B3C6D" w:rsidRDefault="008B3C6D" w:rsidP="00EC6426">
      <w:pPr>
        <w:spacing w:line="480" w:lineRule="auto"/>
        <w:jc w:val="both"/>
        <w:rPr>
          <w:rFonts w:ascii="Times New Roman" w:hAnsi="Times New Roman" w:cs="Times New Roman"/>
          <w:b/>
          <w:sz w:val="24"/>
          <w:szCs w:val="24"/>
        </w:rPr>
      </w:pPr>
      <w:r>
        <w:rPr>
          <w:rFonts w:ascii="Times New Roman" w:hAnsi="Times New Roman" w:cs="Times New Roman"/>
          <w:b/>
          <w:sz w:val="24"/>
          <w:szCs w:val="24"/>
        </w:rPr>
        <w:t>1.2.1 TRANSFER PRICING</w:t>
      </w:r>
    </w:p>
    <w:p w:rsidR="00CC68B0" w:rsidRDefault="00EC6426" w:rsidP="00EC6426">
      <w:pPr>
        <w:spacing w:line="360" w:lineRule="auto"/>
        <w:jc w:val="both"/>
        <w:rPr>
          <w:rFonts w:ascii="Times New Roman" w:hAnsi="Times New Roman" w:cs="Times New Roman"/>
          <w:sz w:val="24"/>
          <w:szCs w:val="24"/>
        </w:rPr>
      </w:pPr>
      <w:r>
        <w:rPr>
          <w:rFonts w:ascii="Times New Roman" w:hAnsi="Times New Roman" w:cs="Times New Roman"/>
          <w:sz w:val="24"/>
          <w:szCs w:val="24"/>
        </w:rPr>
        <w:t>Transfer pricing refers to the prices of goods and services that are exchanged between companies under common control</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w:t>
      </w:r>
      <w:r w:rsidR="00F322CE">
        <w:rPr>
          <w:rFonts w:ascii="Times New Roman" w:hAnsi="Times New Roman" w:cs="Times New Roman"/>
          <w:sz w:val="24"/>
          <w:szCs w:val="24"/>
        </w:rPr>
        <w:t xml:space="preserve"> </w:t>
      </w:r>
      <w:r>
        <w:rPr>
          <w:rFonts w:ascii="Times New Roman" w:hAnsi="Times New Roman" w:cs="Times New Roman"/>
          <w:sz w:val="24"/>
          <w:szCs w:val="24"/>
        </w:rPr>
        <w:t>Transfer pricing is the setting of the price for goods and services sold between controlled (or related) legal entities within an enterprise.</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For example, if a subsidiary company sells goods to a parent company, the cost of those goods paid by the parent to the subsidiary is the transfer price. In other words, the transactions between two relate</w:t>
      </w:r>
      <w:r w:rsidR="008B3C6D">
        <w:rPr>
          <w:rFonts w:ascii="Times New Roman" w:hAnsi="Times New Roman" w:cs="Times New Roman"/>
          <w:sz w:val="24"/>
          <w:szCs w:val="24"/>
        </w:rPr>
        <w:t>d parties must be based on the arm’s length principle</w:t>
      </w:r>
      <w:r w:rsidR="007920BE">
        <w:rPr>
          <w:rFonts w:ascii="Times New Roman" w:hAnsi="Times New Roman" w:cs="Times New Roman"/>
          <w:sz w:val="24"/>
          <w:szCs w:val="24"/>
        </w:rPr>
        <w:t>.</w:t>
      </w:r>
    </w:p>
    <w:p w:rsidR="00E97C6E" w:rsidRPr="00E97C6E" w:rsidRDefault="00EC6426" w:rsidP="00EC642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Simply put, transfer pricing is prices charged between companies that operate under the same ownership umbrella. The primary objective is to determine a fair and reasonable price for these transactions, aligning them with the arm’s length principle. This principle requires that intercompany transactions be priced as if the entities were independent and dealing at arm’s length </w:t>
      </w:r>
      <w:r w:rsidRPr="00E97C6E">
        <w:rPr>
          <w:rFonts w:ascii="Times New Roman" w:hAnsi="Times New Roman" w:cs="Times New Roman"/>
          <w:sz w:val="24"/>
          <w:szCs w:val="24"/>
        </w:rPr>
        <w:t>with each other, reflecting market conditions</w:t>
      </w:r>
      <w:r w:rsidR="009D68E5">
        <w:rPr>
          <w:rStyle w:val="FootnoteReference"/>
          <w:rFonts w:ascii="Times New Roman" w:hAnsi="Times New Roman" w:cs="Times New Roman"/>
          <w:sz w:val="24"/>
          <w:szCs w:val="24"/>
        </w:rPr>
        <w:footnoteReference w:id="3"/>
      </w:r>
      <w:r w:rsidRPr="00E97C6E">
        <w:rPr>
          <w:rFonts w:ascii="Times New Roman" w:hAnsi="Times New Roman" w:cs="Times New Roman"/>
          <w:sz w:val="24"/>
          <w:szCs w:val="24"/>
        </w:rPr>
        <w:t>.</w:t>
      </w:r>
    </w:p>
    <w:p w:rsidR="00E97C6E" w:rsidRPr="00E97C6E" w:rsidRDefault="00E97C6E" w:rsidP="00EC6426">
      <w:pPr>
        <w:spacing w:line="360" w:lineRule="auto"/>
        <w:jc w:val="both"/>
        <w:rPr>
          <w:rFonts w:ascii="Times New Roman" w:hAnsi="Times New Roman" w:cs="Times New Roman"/>
          <w:b/>
          <w:i/>
          <w:sz w:val="24"/>
          <w:szCs w:val="24"/>
        </w:rPr>
      </w:pPr>
      <w:r w:rsidRPr="00E97C6E">
        <w:rPr>
          <w:rFonts w:ascii="Times New Roman" w:hAnsi="Times New Roman" w:cs="Times New Roman"/>
          <w:b/>
          <w:i/>
          <w:sz w:val="24"/>
          <w:szCs w:val="24"/>
        </w:rPr>
        <w:t>Example</w:t>
      </w:r>
    </w:p>
    <w:p w:rsidR="00EC6426" w:rsidRPr="00E74ED5" w:rsidRDefault="00E97C6E" w:rsidP="00EC6426">
      <w:pPr>
        <w:spacing w:line="360" w:lineRule="auto"/>
        <w:jc w:val="both"/>
        <w:rPr>
          <w:rFonts w:ascii="Times New Roman" w:hAnsi="Times New Roman" w:cs="Times New Roman"/>
          <w:b/>
          <w:i/>
          <w:sz w:val="24"/>
          <w:szCs w:val="24"/>
        </w:rPr>
      </w:pPr>
      <w:r>
        <w:rPr>
          <w:rFonts w:ascii="Times New Roman" w:hAnsi="Times New Roman" w:cs="Times New Roman"/>
          <w:sz w:val="24"/>
          <w:szCs w:val="24"/>
        </w:rPr>
        <w:t>T</w:t>
      </w:r>
      <w:r w:rsidR="00083134">
        <w:rPr>
          <w:rFonts w:ascii="Times New Roman" w:hAnsi="Times New Roman" w:cs="Times New Roman"/>
          <w:sz w:val="24"/>
          <w:szCs w:val="24"/>
        </w:rPr>
        <w:t>wo subsidiaries of a multinational company, Company A and Company B operate in different counties. Company A is located in Country X and is responsible for manufacturing a high- tech component used in smartphones. Company B is located in Country Y and is responsible for assembling the final smartphones using the components provided by Company A. Now Company A sells the components to Company B for use in smartphone assembly. The challenge here is to determine a fair and arm’s length price at which Company A should sell the components to Company B</w:t>
      </w:r>
      <w:r w:rsidR="00E74ED5">
        <w:rPr>
          <w:rFonts w:ascii="Times New Roman" w:hAnsi="Times New Roman" w:cs="Times New Roman"/>
          <w:sz w:val="24"/>
          <w:szCs w:val="24"/>
        </w:rPr>
        <w:t>. A</w:t>
      </w:r>
      <w:r>
        <w:rPr>
          <w:rFonts w:ascii="Times New Roman" w:hAnsi="Times New Roman" w:cs="Times New Roman"/>
          <w:sz w:val="24"/>
          <w:szCs w:val="24"/>
        </w:rPr>
        <w:t>ccording to the arm’s length principle, the transfer price</w:t>
      </w:r>
      <w:r w:rsidR="00295CBE">
        <w:rPr>
          <w:rFonts w:ascii="Times New Roman" w:hAnsi="Times New Roman" w:cs="Times New Roman"/>
          <w:sz w:val="24"/>
          <w:szCs w:val="24"/>
        </w:rPr>
        <w:t xml:space="preserve"> </w:t>
      </w:r>
      <w:proofErr w:type="spellStart"/>
      <w:r w:rsidR="00295CBE">
        <w:rPr>
          <w:rFonts w:ascii="Times New Roman" w:hAnsi="Times New Roman" w:cs="Times New Roman"/>
          <w:sz w:val="24"/>
          <w:szCs w:val="24"/>
        </w:rPr>
        <w:t>i.e</w:t>
      </w:r>
      <w:proofErr w:type="spellEnd"/>
      <w:r w:rsidR="00295CBE">
        <w:rPr>
          <w:rFonts w:ascii="Times New Roman" w:hAnsi="Times New Roman" w:cs="Times New Roman"/>
          <w:sz w:val="24"/>
          <w:szCs w:val="24"/>
        </w:rPr>
        <w:t xml:space="preserve"> the price at which Company A sells the components to Company B should be similar to what two independent </w:t>
      </w:r>
      <w:r w:rsidR="00295CBE">
        <w:rPr>
          <w:rFonts w:ascii="Times New Roman" w:hAnsi="Times New Roman" w:cs="Times New Roman"/>
          <w:sz w:val="24"/>
          <w:szCs w:val="24"/>
        </w:rPr>
        <w:lastRenderedPageBreak/>
        <w:t>companies would agree upon in a comparable transaction.</w:t>
      </w:r>
      <w:r w:rsidR="00A11038">
        <w:rPr>
          <w:rFonts w:ascii="Times New Roman" w:hAnsi="Times New Roman" w:cs="Times New Roman"/>
          <w:sz w:val="24"/>
          <w:szCs w:val="24"/>
        </w:rPr>
        <w:t xml:space="preserve"> In other words, it should reflect the market price for such components.</w:t>
      </w:r>
      <w:r>
        <w:rPr>
          <w:rFonts w:ascii="Times New Roman" w:hAnsi="Times New Roman" w:cs="Times New Roman"/>
          <w:sz w:val="24"/>
          <w:szCs w:val="24"/>
        </w:rPr>
        <w:t xml:space="preserve">  </w:t>
      </w:r>
      <w:r w:rsidR="00EC6426">
        <w:rPr>
          <w:rFonts w:ascii="Times New Roman" w:hAnsi="Times New Roman" w:cs="Times New Roman"/>
          <w:sz w:val="24"/>
          <w:szCs w:val="24"/>
        </w:rPr>
        <w:t>Thus, a transfer price should match either what the seller would charge an independent, arm’s length customer, or what the buyer would pay an independent, arm’s length supplier.</w:t>
      </w:r>
    </w:p>
    <w:p w:rsidR="00EC6426" w:rsidRDefault="00EC6426" w:rsidP="00EC6426">
      <w:pPr>
        <w:spacing w:line="360" w:lineRule="auto"/>
        <w:jc w:val="both"/>
        <w:rPr>
          <w:rFonts w:ascii="Times New Roman" w:hAnsi="Times New Roman" w:cs="Times New Roman"/>
          <w:sz w:val="24"/>
          <w:szCs w:val="24"/>
        </w:rPr>
      </w:pPr>
      <w:r>
        <w:rPr>
          <w:rFonts w:ascii="Times New Roman" w:hAnsi="Times New Roman" w:cs="Times New Roman"/>
          <w:sz w:val="24"/>
          <w:szCs w:val="24"/>
        </w:rPr>
        <w:t>Transfer pricing does not necessarily involve tax avoidance, as the need to set such prices is a normal aspect of how MNEs must operate. However, where the pricing does not accord with internationally applicable norms or with the arm’s length principle under domestic law, the tax administration may consider this to be “mispricing”, “incorrect pricing” or non-arm’s length pricing, and an issue of tax avoidance and evasion may potentially arise</w:t>
      </w:r>
      <w:r w:rsidR="00AC6427">
        <w:rPr>
          <w:rStyle w:val="FootnoteReference"/>
          <w:rFonts w:ascii="Times New Roman" w:hAnsi="Times New Roman" w:cs="Times New Roman"/>
          <w:sz w:val="24"/>
          <w:szCs w:val="24"/>
        </w:rPr>
        <w:footnoteReference w:id="4"/>
      </w:r>
      <w:r>
        <w:rPr>
          <w:rFonts w:ascii="Times New Roman" w:hAnsi="Times New Roman" w:cs="Times New Roman"/>
          <w:sz w:val="24"/>
          <w:szCs w:val="24"/>
        </w:rPr>
        <w:t>.</w:t>
      </w:r>
    </w:p>
    <w:p w:rsidR="00EC6426" w:rsidRPr="00ED00B0" w:rsidRDefault="00EC6426" w:rsidP="00161FFD">
      <w:pPr>
        <w:tabs>
          <w:tab w:val="left" w:pos="1011"/>
        </w:tabs>
        <w:spacing w:line="360" w:lineRule="auto"/>
        <w:jc w:val="both"/>
        <w:rPr>
          <w:rFonts w:ascii="Times New Roman" w:hAnsi="Times New Roman" w:cs="Times New Roman"/>
          <w:sz w:val="24"/>
          <w:szCs w:val="24"/>
        </w:rPr>
      </w:pPr>
      <w:r>
        <w:rPr>
          <w:rFonts w:ascii="Times New Roman" w:hAnsi="Times New Roman" w:cs="Times New Roman"/>
          <w:sz w:val="24"/>
          <w:szCs w:val="24"/>
        </w:rPr>
        <w:t>Tax authorities usually frown upon transfer pricing aimed at tax avoidance and insist that each internal part of the firm deals with the other on “arm’s length” (market price) basis.</w:t>
      </w:r>
      <w:r>
        <w:rPr>
          <w:rStyle w:val="FootnoteReference"/>
          <w:rFonts w:ascii="Times New Roman" w:hAnsi="Times New Roman" w:cs="Times New Roman"/>
          <w:sz w:val="24"/>
          <w:szCs w:val="24"/>
        </w:rPr>
        <w:footnoteReference w:id="5"/>
      </w:r>
      <w:r w:rsidR="00161FFD">
        <w:rPr>
          <w:rFonts w:ascii="Times New Roman" w:hAnsi="Times New Roman" w:cs="Times New Roman"/>
          <w:sz w:val="24"/>
          <w:szCs w:val="24"/>
        </w:rPr>
        <w:t xml:space="preserve"> </w:t>
      </w:r>
      <w:r w:rsidRPr="00ED00B0">
        <w:rPr>
          <w:rFonts w:ascii="Times New Roman" w:hAnsi="Times New Roman" w:cs="Times New Roman"/>
          <w:sz w:val="24"/>
          <w:szCs w:val="24"/>
        </w:rPr>
        <w:t>Estimates vary as to how much tax revenue is lost by governments due to transfer mispricing.</w:t>
      </w:r>
      <w:r w:rsidRPr="00ED00B0">
        <w:rPr>
          <w:rStyle w:val="FootnoteReference"/>
          <w:rFonts w:ascii="Times New Roman" w:hAnsi="Times New Roman" w:cs="Times New Roman"/>
          <w:sz w:val="24"/>
          <w:szCs w:val="24"/>
        </w:rPr>
        <w:footnoteReference w:id="6"/>
      </w:r>
    </w:p>
    <w:p w:rsidR="00083134" w:rsidRDefault="008B3C6D" w:rsidP="00EC6426">
      <w:pPr>
        <w:tabs>
          <w:tab w:val="left" w:pos="3874"/>
        </w:tabs>
        <w:spacing w:line="360" w:lineRule="auto"/>
        <w:jc w:val="both"/>
        <w:rPr>
          <w:rFonts w:ascii="Times New Roman" w:hAnsi="Times New Roman" w:cs="Times New Roman"/>
          <w:b/>
          <w:sz w:val="24"/>
          <w:szCs w:val="24"/>
        </w:rPr>
      </w:pPr>
      <w:r>
        <w:rPr>
          <w:rFonts w:ascii="Times New Roman" w:hAnsi="Times New Roman" w:cs="Times New Roman"/>
          <w:b/>
          <w:sz w:val="24"/>
          <w:szCs w:val="24"/>
        </w:rPr>
        <w:t>1.2.2</w:t>
      </w:r>
      <w:r w:rsidR="00BA6DF7">
        <w:rPr>
          <w:rFonts w:ascii="Times New Roman" w:hAnsi="Times New Roman" w:cs="Times New Roman"/>
          <w:b/>
          <w:sz w:val="24"/>
          <w:szCs w:val="24"/>
        </w:rPr>
        <w:t xml:space="preserve"> </w:t>
      </w:r>
      <w:r w:rsidR="00083134">
        <w:rPr>
          <w:rFonts w:ascii="Times New Roman" w:hAnsi="Times New Roman" w:cs="Times New Roman"/>
          <w:b/>
          <w:sz w:val="24"/>
          <w:szCs w:val="24"/>
        </w:rPr>
        <w:t>THE ARMS’S LENGTH PRINCIPLE</w:t>
      </w:r>
    </w:p>
    <w:p w:rsidR="00651EC6" w:rsidRDefault="002776BA" w:rsidP="00651EC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arm’s length principle is a fundamental concept in international taxation and transfer pricing that ensures that transactions between related entities within MNEs are conducted on terms that would be comparable to those negotiated between independent, unrelated parties.</w:t>
      </w:r>
      <w:r w:rsidR="00133D73">
        <w:rPr>
          <w:rFonts w:ascii="Times New Roman" w:hAnsi="Times New Roman" w:cs="Times New Roman"/>
          <w:color w:val="000000"/>
          <w:sz w:val="24"/>
          <w:szCs w:val="24"/>
        </w:rPr>
        <w:t xml:space="preserve"> </w:t>
      </w:r>
      <w:r w:rsidR="00651EC6">
        <w:rPr>
          <w:rFonts w:ascii="Times New Roman" w:hAnsi="Times New Roman" w:cs="Times New Roman"/>
          <w:color w:val="000000"/>
          <w:sz w:val="24"/>
          <w:szCs w:val="24"/>
        </w:rPr>
        <w:t>It has been defined as ‘</w:t>
      </w:r>
      <w:r w:rsidR="00651EC6" w:rsidRPr="00ED00B0">
        <w:rPr>
          <w:rFonts w:ascii="Times New Roman" w:hAnsi="Times New Roman" w:cs="Times New Roman"/>
          <w:color w:val="000000"/>
          <w:sz w:val="24"/>
          <w:szCs w:val="24"/>
        </w:rPr>
        <w:t xml:space="preserve">a </w:t>
      </w:r>
      <w:hyperlink r:id="rId8" w:history="1">
        <w:r w:rsidR="00651EC6" w:rsidRPr="00481180">
          <w:rPr>
            <w:rStyle w:val="Hyperlink"/>
            <w:rFonts w:ascii="Times New Roman" w:hAnsi="Times New Roman" w:cs="Times New Roman"/>
            <w:color w:val="000000" w:themeColor="text1"/>
            <w:sz w:val="24"/>
            <w:szCs w:val="24"/>
            <w:u w:val="none"/>
          </w:rPr>
          <w:t>transaction</w:t>
        </w:r>
      </w:hyperlink>
      <w:r w:rsidR="00651EC6" w:rsidRPr="00ED00B0">
        <w:rPr>
          <w:rFonts w:ascii="Times New Roman" w:hAnsi="Times New Roman" w:cs="Times New Roman"/>
          <w:color w:val="000000"/>
          <w:sz w:val="24"/>
          <w:szCs w:val="24"/>
        </w:rPr>
        <w:t xml:space="preserve"> in which the buyers and sellers of a product act independently and have no relationship to each other. The concept of an </w:t>
      </w:r>
      <w:hyperlink r:id="rId9" w:history="1">
        <w:r w:rsidR="00651EC6" w:rsidRPr="00481180">
          <w:rPr>
            <w:rStyle w:val="Hyperlink"/>
            <w:rFonts w:ascii="Times New Roman" w:hAnsi="Times New Roman" w:cs="Times New Roman"/>
            <w:color w:val="000000" w:themeColor="text1"/>
            <w:sz w:val="24"/>
            <w:szCs w:val="24"/>
            <w:u w:val="none"/>
          </w:rPr>
          <w:t>arm's length transaction</w:t>
        </w:r>
      </w:hyperlink>
      <w:r w:rsidR="00651EC6" w:rsidRPr="00481180">
        <w:rPr>
          <w:rFonts w:ascii="Times New Roman" w:hAnsi="Times New Roman" w:cs="Times New Roman"/>
          <w:color w:val="000000" w:themeColor="text1"/>
          <w:sz w:val="24"/>
          <w:szCs w:val="24"/>
        </w:rPr>
        <w:t xml:space="preserve"> </w:t>
      </w:r>
      <w:r w:rsidR="00651EC6" w:rsidRPr="00ED00B0">
        <w:rPr>
          <w:rFonts w:ascii="Times New Roman" w:hAnsi="Times New Roman" w:cs="Times New Roman"/>
          <w:color w:val="000000"/>
          <w:sz w:val="24"/>
          <w:szCs w:val="24"/>
        </w:rPr>
        <w:t xml:space="preserve">is to ensure that both parties in the deal are acting in their own self-interest and are not subject to any pressure </w:t>
      </w:r>
      <w:r w:rsidR="00651EC6" w:rsidRPr="00481180">
        <w:rPr>
          <w:rFonts w:ascii="Times New Roman" w:hAnsi="Times New Roman" w:cs="Times New Roman"/>
          <w:color w:val="000000" w:themeColor="text1"/>
          <w:sz w:val="24"/>
          <w:szCs w:val="24"/>
        </w:rPr>
        <w:t xml:space="preserve">or </w:t>
      </w:r>
      <w:hyperlink r:id="rId10" w:history="1">
        <w:r w:rsidR="00651EC6" w:rsidRPr="00481180">
          <w:rPr>
            <w:rStyle w:val="Hyperlink"/>
            <w:rFonts w:ascii="Times New Roman" w:hAnsi="Times New Roman" w:cs="Times New Roman"/>
            <w:color w:val="000000" w:themeColor="text1"/>
            <w:sz w:val="24"/>
            <w:szCs w:val="24"/>
            <w:u w:val="none"/>
          </w:rPr>
          <w:t>duress</w:t>
        </w:r>
      </w:hyperlink>
      <w:r w:rsidR="00651EC6">
        <w:rPr>
          <w:rFonts w:ascii="Times New Roman" w:hAnsi="Times New Roman" w:cs="Times New Roman"/>
          <w:color w:val="000000"/>
          <w:sz w:val="24"/>
          <w:szCs w:val="24"/>
        </w:rPr>
        <w:t xml:space="preserve"> from the other party’</w:t>
      </w:r>
      <w:r w:rsidR="00651EC6">
        <w:rPr>
          <w:rStyle w:val="FootnoteReference"/>
          <w:rFonts w:ascii="Times New Roman" w:hAnsi="Times New Roman" w:cs="Times New Roman"/>
          <w:color w:val="000000"/>
          <w:sz w:val="24"/>
          <w:szCs w:val="24"/>
        </w:rPr>
        <w:footnoteReference w:id="7"/>
      </w:r>
    </w:p>
    <w:p w:rsidR="00651EC6" w:rsidRDefault="00133D73" w:rsidP="00651EC6">
      <w:p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It is</w:t>
      </w:r>
      <w:r w:rsidR="00A67A01">
        <w:rPr>
          <w:rFonts w:ascii="Times New Roman" w:hAnsi="Times New Roman" w:cs="Times New Roman"/>
          <w:color w:val="000000"/>
          <w:sz w:val="24"/>
          <w:szCs w:val="24"/>
        </w:rPr>
        <w:t xml:space="preserve"> the international transfer pricing standard that OECD member countries have agreed should be used for tax purposes by MNEs and tax administrators. It is</w:t>
      </w:r>
      <w:r>
        <w:rPr>
          <w:rFonts w:ascii="Times New Roman" w:hAnsi="Times New Roman" w:cs="Times New Roman"/>
          <w:color w:val="000000"/>
          <w:sz w:val="24"/>
          <w:szCs w:val="24"/>
        </w:rPr>
        <w:t xml:space="preserve"> designed to prevent profit shifting </w:t>
      </w:r>
      <w:r>
        <w:rPr>
          <w:rFonts w:ascii="Times New Roman" w:hAnsi="Times New Roman" w:cs="Times New Roman"/>
          <w:color w:val="000000"/>
          <w:sz w:val="24"/>
          <w:szCs w:val="24"/>
        </w:rPr>
        <w:lastRenderedPageBreak/>
        <w:t>and ensure that taxable profits are appropriately allocated among different jurisdictions, thereby promoting tax fairness and preventing tax avoidance.</w:t>
      </w:r>
      <w:r w:rsidR="00651EC6" w:rsidRPr="00651EC6">
        <w:rPr>
          <w:rFonts w:ascii="Times New Roman" w:hAnsi="Times New Roman" w:cs="Times New Roman"/>
          <w:sz w:val="24"/>
          <w:szCs w:val="24"/>
        </w:rPr>
        <w:t xml:space="preserve"> </w:t>
      </w:r>
    </w:p>
    <w:p w:rsidR="00651EC6" w:rsidRDefault="00651EC6" w:rsidP="00651EC6">
      <w:pPr>
        <w:spacing w:line="360" w:lineRule="auto"/>
        <w:jc w:val="both"/>
        <w:rPr>
          <w:rFonts w:ascii="Times New Roman" w:hAnsi="Times New Roman" w:cs="Times New Roman"/>
          <w:sz w:val="24"/>
          <w:szCs w:val="24"/>
        </w:rPr>
      </w:pPr>
      <w:r w:rsidRPr="00ED00B0">
        <w:rPr>
          <w:rFonts w:ascii="Times New Roman" w:hAnsi="Times New Roman" w:cs="Times New Roman"/>
          <w:sz w:val="24"/>
          <w:szCs w:val="24"/>
        </w:rPr>
        <w:t>Thus, the arm’s length principle is currently the accepted guiding principle in choosing an acceptable transfer price under</w:t>
      </w:r>
      <w:r>
        <w:rPr>
          <w:rFonts w:ascii="Times New Roman" w:hAnsi="Times New Roman" w:cs="Times New Roman"/>
          <w:sz w:val="24"/>
          <w:szCs w:val="24"/>
        </w:rPr>
        <w:t xml:space="preserve"> paragraph 1 of</w:t>
      </w:r>
      <w:r w:rsidRPr="00ED00B0">
        <w:rPr>
          <w:rFonts w:ascii="Times New Roman" w:hAnsi="Times New Roman" w:cs="Times New Roman"/>
          <w:sz w:val="24"/>
          <w:szCs w:val="24"/>
        </w:rPr>
        <w:t xml:space="preserve"> Article 9 of the</w:t>
      </w:r>
      <w:r>
        <w:rPr>
          <w:rFonts w:ascii="Times New Roman" w:hAnsi="Times New Roman" w:cs="Times New Roman"/>
          <w:sz w:val="24"/>
          <w:szCs w:val="24"/>
        </w:rPr>
        <w:t xml:space="preserve"> OECD Model Tax Convention</w:t>
      </w:r>
      <w:r w:rsidRPr="00ED00B0">
        <w:rPr>
          <w:rFonts w:ascii="Times New Roman" w:hAnsi="Times New Roman" w:cs="Times New Roman"/>
          <w:sz w:val="24"/>
          <w:szCs w:val="24"/>
        </w:rPr>
        <w:t>.</w:t>
      </w:r>
      <w:r>
        <w:rPr>
          <w:rFonts w:ascii="Times New Roman" w:hAnsi="Times New Roman" w:cs="Times New Roman"/>
          <w:sz w:val="24"/>
          <w:szCs w:val="24"/>
        </w:rPr>
        <w:t xml:space="preserve"> It provides guidance on how the arm’s length principle should be applied in practice. It states that when conditions are made or imposed between the two entities of an MNE that differ from those that would be made between independent entities, the profits that would have accrued to one of the entities are reallocated to account for these non-arm’s length conditions</w:t>
      </w:r>
      <w:r w:rsidR="00612FEE">
        <w:rPr>
          <w:rStyle w:val="FootnoteReference"/>
          <w:rFonts w:ascii="Times New Roman" w:hAnsi="Times New Roman" w:cs="Times New Roman"/>
          <w:sz w:val="24"/>
          <w:szCs w:val="24"/>
        </w:rPr>
        <w:footnoteReference w:id="8"/>
      </w:r>
      <w:r>
        <w:rPr>
          <w:rFonts w:ascii="Times New Roman" w:hAnsi="Times New Roman" w:cs="Times New Roman"/>
          <w:sz w:val="24"/>
          <w:szCs w:val="24"/>
        </w:rPr>
        <w:t>.</w:t>
      </w:r>
    </w:p>
    <w:p w:rsidR="002776BA" w:rsidRPr="008B3C6D" w:rsidRDefault="00651EC6" w:rsidP="00BA6DF7">
      <w:pPr>
        <w:spacing w:line="360" w:lineRule="auto"/>
        <w:jc w:val="both"/>
        <w:rPr>
          <w:rFonts w:ascii="Times New Roman" w:hAnsi="Times New Roman" w:cs="Times New Roman"/>
          <w:sz w:val="24"/>
          <w:szCs w:val="24"/>
        </w:rPr>
      </w:pPr>
      <w:r>
        <w:rPr>
          <w:rFonts w:ascii="Times New Roman" w:hAnsi="Times New Roman" w:cs="Times New Roman"/>
          <w:sz w:val="24"/>
          <w:szCs w:val="24"/>
        </w:rPr>
        <w:t>There are several reasons why OECD member countries and other jurisdictions have adopted the arm’s length principle. A major reason is that the principle provides broad parity of tax treatment for members of MNEs and independent enterprises. Because the principle puts associated and independent enterprises on a more equal footing for tax purposes, it avoids the creation of tax advantages or disadvantages that would otherwise distort the relative competitive positions of either type of entity. In so removing these tax considerations from economic decisions, the arm’s length principle promotes the growth of international trade and investment</w:t>
      </w:r>
      <w:r w:rsidR="008B3C6D">
        <w:rPr>
          <w:rStyle w:val="FootnoteReference"/>
          <w:rFonts w:ascii="Times New Roman" w:hAnsi="Times New Roman" w:cs="Times New Roman"/>
          <w:sz w:val="24"/>
          <w:szCs w:val="24"/>
        </w:rPr>
        <w:footnoteReference w:id="9"/>
      </w:r>
      <w:r>
        <w:rPr>
          <w:rFonts w:ascii="Times New Roman" w:hAnsi="Times New Roman" w:cs="Times New Roman"/>
          <w:sz w:val="24"/>
          <w:szCs w:val="24"/>
        </w:rPr>
        <w:t>.</w:t>
      </w:r>
    </w:p>
    <w:p w:rsidR="00EC6426" w:rsidRPr="00ED00B0" w:rsidRDefault="008B3C6D" w:rsidP="00EC6426">
      <w:pPr>
        <w:tabs>
          <w:tab w:val="left" w:pos="3874"/>
        </w:tabs>
        <w:spacing w:line="360" w:lineRule="auto"/>
        <w:jc w:val="both"/>
        <w:rPr>
          <w:rFonts w:ascii="Times New Roman" w:hAnsi="Times New Roman" w:cs="Times New Roman"/>
          <w:b/>
          <w:sz w:val="24"/>
          <w:szCs w:val="24"/>
        </w:rPr>
      </w:pPr>
      <w:r>
        <w:rPr>
          <w:rFonts w:ascii="Times New Roman" w:hAnsi="Times New Roman" w:cs="Times New Roman"/>
          <w:b/>
          <w:sz w:val="24"/>
          <w:szCs w:val="24"/>
        </w:rPr>
        <w:t>1.3</w:t>
      </w:r>
      <w:r w:rsidR="00083134">
        <w:rPr>
          <w:rFonts w:ascii="Times New Roman" w:hAnsi="Times New Roman" w:cs="Times New Roman"/>
          <w:b/>
          <w:sz w:val="24"/>
          <w:szCs w:val="24"/>
        </w:rPr>
        <w:t xml:space="preserve"> </w:t>
      </w:r>
      <w:r w:rsidR="00EC6426" w:rsidRPr="00ED00B0">
        <w:rPr>
          <w:rFonts w:ascii="Times New Roman" w:hAnsi="Times New Roman" w:cs="Times New Roman"/>
          <w:b/>
          <w:sz w:val="24"/>
          <w:szCs w:val="24"/>
        </w:rPr>
        <w:t>TRANSFER PRICING METHODS</w:t>
      </w:r>
      <w:r w:rsidR="00EC6426" w:rsidRPr="00ED00B0">
        <w:rPr>
          <w:rFonts w:ascii="Times New Roman" w:hAnsi="Times New Roman" w:cs="Times New Roman"/>
          <w:b/>
          <w:sz w:val="24"/>
          <w:szCs w:val="24"/>
        </w:rPr>
        <w:tab/>
      </w:r>
    </w:p>
    <w:p w:rsidR="00EC6426" w:rsidRPr="00ED00B0" w:rsidRDefault="00EC6426" w:rsidP="00EC6426">
      <w:pPr>
        <w:spacing w:line="360" w:lineRule="auto"/>
        <w:jc w:val="both"/>
        <w:rPr>
          <w:rFonts w:ascii="Times New Roman" w:hAnsi="Times New Roman" w:cs="Times New Roman"/>
          <w:sz w:val="24"/>
          <w:szCs w:val="24"/>
        </w:rPr>
      </w:pPr>
      <w:r w:rsidRPr="00ED00B0">
        <w:rPr>
          <w:rFonts w:ascii="Times New Roman" w:hAnsi="Times New Roman" w:cs="Times New Roman"/>
          <w:sz w:val="24"/>
          <w:szCs w:val="24"/>
        </w:rPr>
        <w:t>Transfer pricing is complex, ranging from international regulations to calculation methods which may involve many technicalities to manage The solution that tax authorities in OECD countries have adopted to reduce the probability of transfer price manipulation is to develop specific transfer pricing regulations. These regulations are based on the concept of the arm’s length standard, which requires two related parties to set the same transfer price for an intra- firm transaction as two unrelated parties would have set if they had been engaged in the same or similar transaction under the same or similar circumstances</w:t>
      </w:r>
      <w:r w:rsidRPr="00ED00B0">
        <w:rPr>
          <w:rStyle w:val="FootnoteReference"/>
          <w:rFonts w:ascii="Times New Roman" w:hAnsi="Times New Roman" w:cs="Times New Roman"/>
          <w:sz w:val="24"/>
          <w:szCs w:val="24"/>
        </w:rPr>
        <w:footnoteReference w:id="10"/>
      </w:r>
      <w:r w:rsidRPr="00ED00B0">
        <w:rPr>
          <w:rFonts w:ascii="Times New Roman" w:hAnsi="Times New Roman" w:cs="Times New Roman"/>
          <w:sz w:val="24"/>
          <w:szCs w:val="24"/>
        </w:rPr>
        <w:t>.</w:t>
      </w:r>
    </w:p>
    <w:p w:rsidR="00EC6426" w:rsidRPr="00671743" w:rsidRDefault="00EC6426" w:rsidP="00671743">
      <w:pPr>
        <w:tabs>
          <w:tab w:val="left" w:pos="3874"/>
        </w:tabs>
        <w:spacing w:line="360" w:lineRule="auto"/>
        <w:jc w:val="both"/>
        <w:rPr>
          <w:rFonts w:ascii="Times New Roman" w:hAnsi="Times New Roman" w:cs="Times New Roman"/>
          <w:b/>
          <w:sz w:val="24"/>
          <w:szCs w:val="24"/>
        </w:rPr>
      </w:pPr>
      <w:r w:rsidRPr="00ED00B0">
        <w:rPr>
          <w:rFonts w:ascii="Times New Roman" w:hAnsi="Times New Roman" w:cs="Times New Roman"/>
          <w:sz w:val="24"/>
          <w:szCs w:val="24"/>
        </w:rPr>
        <w:lastRenderedPageBreak/>
        <w:t>In the arm’s length principle, the market place comprising independent entities is the benchmark for verifying the transfer prices for intra- group transactions and their acceptability for taxation purposes</w:t>
      </w:r>
      <w:r w:rsidRPr="00ED00B0">
        <w:rPr>
          <w:rStyle w:val="FootnoteReference"/>
          <w:rFonts w:ascii="Times New Roman" w:hAnsi="Times New Roman" w:cs="Times New Roman"/>
          <w:sz w:val="24"/>
          <w:szCs w:val="24"/>
        </w:rPr>
        <w:footnoteReference w:id="11"/>
      </w:r>
      <w:r w:rsidRPr="00ED00B0">
        <w:rPr>
          <w:rFonts w:ascii="Times New Roman" w:hAnsi="Times New Roman" w:cs="Times New Roman"/>
          <w:sz w:val="24"/>
          <w:szCs w:val="24"/>
        </w:rPr>
        <w:t>.</w:t>
      </w:r>
      <w:r w:rsidR="00671743">
        <w:rPr>
          <w:rFonts w:ascii="Times New Roman" w:hAnsi="Times New Roman" w:cs="Times New Roman"/>
          <w:b/>
          <w:sz w:val="24"/>
          <w:szCs w:val="24"/>
        </w:rPr>
        <w:t xml:space="preserve"> </w:t>
      </w:r>
      <w:r w:rsidRPr="00ED00B0">
        <w:rPr>
          <w:rFonts w:ascii="Times New Roman" w:hAnsi="Times New Roman" w:cs="Times New Roman"/>
          <w:sz w:val="24"/>
          <w:szCs w:val="24"/>
        </w:rPr>
        <w:t>The OECD Guidelines</w:t>
      </w:r>
      <w:r w:rsidRPr="00ED00B0">
        <w:rPr>
          <w:rStyle w:val="FootnoteReference"/>
          <w:rFonts w:ascii="Times New Roman" w:hAnsi="Times New Roman" w:cs="Times New Roman"/>
          <w:sz w:val="24"/>
          <w:szCs w:val="24"/>
        </w:rPr>
        <w:footnoteReference w:id="12"/>
      </w:r>
      <w:r w:rsidRPr="00ED00B0">
        <w:rPr>
          <w:rFonts w:ascii="Times New Roman" w:hAnsi="Times New Roman" w:cs="Times New Roman"/>
          <w:sz w:val="24"/>
          <w:szCs w:val="24"/>
        </w:rPr>
        <w:t xml:space="preserve"> define</w:t>
      </w:r>
      <w:r w:rsidR="00671743">
        <w:rPr>
          <w:rFonts w:ascii="Times New Roman" w:hAnsi="Times New Roman" w:cs="Times New Roman"/>
          <w:sz w:val="24"/>
          <w:szCs w:val="24"/>
        </w:rPr>
        <w:t>d</w:t>
      </w:r>
      <w:r w:rsidRPr="00ED00B0">
        <w:rPr>
          <w:rFonts w:ascii="Times New Roman" w:hAnsi="Times New Roman" w:cs="Times New Roman"/>
          <w:sz w:val="24"/>
          <w:szCs w:val="24"/>
        </w:rPr>
        <w:t xml:space="preserve"> a number of methods that can be used to determine arm’s length prices for intra- group transactions. These methods are categorized as:</w:t>
      </w:r>
    </w:p>
    <w:p w:rsidR="00EC6426" w:rsidRPr="00ED00B0" w:rsidRDefault="00CC68B0" w:rsidP="00EC6426">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Traditional Transaction M</w:t>
      </w:r>
      <w:r w:rsidR="00EC6426" w:rsidRPr="00ED00B0">
        <w:rPr>
          <w:rFonts w:ascii="Times New Roman" w:hAnsi="Times New Roman" w:cs="Times New Roman"/>
          <w:sz w:val="24"/>
          <w:szCs w:val="24"/>
        </w:rPr>
        <w:t xml:space="preserve">ethods </w:t>
      </w:r>
    </w:p>
    <w:p w:rsidR="00EC6426" w:rsidRPr="00ED00B0" w:rsidRDefault="00CC68B0" w:rsidP="00EC6426">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Transactional Profit M</w:t>
      </w:r>
      <w:r w:rsidR="00EC6426" w:rsidRPr="00ED00B0">
        <w:rPr>
          <w:rFonts w:ascii="Times New Roman" w:hAnsi="Times New Roman" w:cs="Times New Roman"/>
          <w:sz w:val="24"/>
          <w:szCs w:val="24"/>
        </w:rPr>
        <w:t>ethods</w:t>
      </w:r>
    </w:p>
    <w:p w:rsidR="00EC6426" w:rsidRPr="008E1092" w:rsidRDefault="00545040" w:rsidP="00EC6426">
      <w:pPr>
        <w:pStyle w:val="ListParagraph"/>
        <w:numPr>
          <w:ilvl w:val="0"/>
          <w:numId w:val="6"/>
        </w:numPr>
        <w:spacing w:line="360" w:lineRule="auto"/>
        <w:jc w:val="both"/>
        <w:rPr>
          <w:rFonts w:ascii="Times New Roman" w:hAnsi="Times New Roman" w:cs="Times New Roman"/>
          <w:sz w:val="24"/>
          <w:szCs w:val="24"/>
        </w:rPr>
      </w:pPr>
      <w:r w:rsidRPr="008E1092">
        <w:rPr>
          <w:rFonts w:ascii="Times New Roman" w:hAnsi="Times New Roman" w:cs="Times New Roman"/>
          <w:b/>
          <w:i/>
          <w:sz w:val="24"/>
          <w:szCs w:val="24"/>
        </w:rPr>
        <w:t>Traditional Transaction Methods</w:t>
      </w:r>
      <w:r w:rsidR="00EC6426" w:rsidRPr="008E1092">
        <w:rPr>
          <w:rFonts w:ascii="Times New Roman" w:hAnsi="Times New Roman" w:cs="Times New Roman"/>
          <w:i/>
          <w:sz w:val="24"/>
          <w:szCs w:val="24"/>
        </w:rPr>
        <w:t>:</w:t>
      </w:r>
      <w:r w:rsidR="00EC6426" w:rsidRPr="008E1092">
        <w:rPr>
          <w:rFonts w:ascii="Times New Roman" w:hAnsi="Times New Roman" w:cs="Times New Roman"/>
          <w:sz w:val="24"/>
          <w:szCs w:val="24"/>
        </w:rPr>
        <w:t xml:space="preserve"> compares third- party prices, or other less direct measures such as gross margins on third party transactions, with the same measures on the transactions under review.</w:t>
      </w:r>
    </w:p>
    <w:p w:rsidR="00EC6426" w:rsidRPr="008E1092" w:rsidRDefault="00545040" w:rsidP="00EC6426">
      <w:pPr>
        <w:pStyle w:val="ListParagraph"/>
        <w:numPr>
          <w:ilvl w:val="0"/>
          <w:numId w:val="6"/>
        </w:numPr>
        <w:spacing w:line="360" w:lineRule="auto"/>
        <w:jc w:val="both"/>
        <w:rPr>
          <w:rFonts w:ascii="Times New Roman" w:hAnsi="Times New Roman" w:cs="Times New Roman"/>
          <w:sz w:val="24"/>
          <w:szCs w:val="24"/>
        </w:rPr>
      </w:pPr>
      <w:r w:rsidRPr="008E1092">
        <w:rPr>
          <w:rFonts w:ascii="Times New Roman" w:hAnsi="Times New Roman" w:cs="Times New Roman"/>
          <w:b/>
          <w:i/>
          <w:sz w:val="24"/>
          <w:szCs w:val="24"/>
        </w:rPr>
        <w:t>Transactional Profit Methods</w:t>
      </w:r>
      <w:r w:rsidR="00EC6426" w:rsidRPr="008E1092">
        <w:rPr>
          <w:rFonts w:ascii="Times New Roman" w:hAnsi="Times New Roman" w:cs="Times New Roman"/>
          <w:i/>
          <w:sz w:val="24"/>
          <w:szCs w:val="24"/>
        </w:rPr>
        <w:t>:</w:t>
      </w:r>
      <w:r w:rsidR="00EC6426" w:rsidRPr="008E1092">
        <w:rPr>
          <w:rFonts w:ascii="Times New Roman" w:hAnsi="Times New Roman" w:cs="Times New Roman"/>
          <w:sz w:val="24"/>
          <w:szCs w:val="24"/>
        </w:rPr>
        <w:t xml:space="preserve"> it examines the overall net operating profits that arise from the intra company transactions under review. These methods are generally less precise than the traditional transaction methods but more commonly applied as a result of practical difficulties in finding suitable information for the application of the traditional transaction methods.</w:t>
      </w:r>
    </w:p>
    <w:p w:rsidR="00EC6426" w:rsidRPr="00ED00B0" w:rsidRDefault="00EC6426" w:rsidP="00EC6426">
      <w:pPr>
        <w:spacing w:line="360" w:lineRule="auto"/>
        <w:jc w:val="both"/>
        <w:rPr>
          <w:rFonts w:ascii="Times New Roman" w:hAnsi="Times New Roman" w:cs="Times New Roman"/>
          <w:sz w:val="24"/>
          <w:szCs w:val="24"/>
        </w:rPr>
      </w:pPr>
      <w:r w:rsidRPr="00ED00B0">
        <w:rPr>
          <w:rFonts w:ascii="Times New Roman" w:hAnsi="Times New Roman" w:cs="Times New Roman"/>
          <w:sz w:val="24"/>
          <w:szCs w:val="24"/>
        </w:rPr>
        <w:t>The OECD Guidelines prescribe that the taxpayer should select the most appropriate method. If the two methods are equally reliable, the traditional transaction method is preferred.</w:t>
      </w:r>
    </w:p>
    <w:p w:rsidR="00EC6426" w:rsidRDefault="00EC6426" w:rsidP="00EC6426">
      <w:pPr>
        <w:spacing w:line="360" w:lineRule="auto"/>
        <w:jc w:val="both"/>
        <w:rPr>
          <w:rFonts w:ascii="Times New Roman" w:hAnsi="Times New Roman" w:cs="Times New Roman"/>
          <w:sz w:val="24"/>
          <w:szCs w:val="24"/>
        </w:rPr>
      </w:pPr>
      <w:r>
        <w:rPr>
          <w:rFonts w:ascii="Times New Roman" w:hAnsi="Times New Roman" w:cs="Times New Roman"/>
          <w:sz w:val="24"/>
          <w:szCs w:val="24"/>
        </w:rPr>
        <w:t>There are five methods in total that may be used to examine the arm’s length nature of the intra- company transaction. The methods as specified by the OECD Guidelines are</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w:t>
      </w:r>
    </w:p>
    <w:p w:rsidR="00EC6426" w:rsidRDefault="00EC6426" w:rsidP="00EC6426">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Comparable Uncontrolled Price Method (CUP)</w:t>
      </w:r>
    </w:p>
    <w:p w:rsidR="00EC6426" w:rsidRDefault="00EC6426" w:rsidP="00EC6426">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Cost Plus Method</w:t>
      </w:r>
    </w:p>
    <w:p w:rsidR="00EC6426" w:rsidRDefault="00EC6426" w:rsidP="00EC6426">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Resale Price Method</w:t>
      </w:r>
    </w:p>
    <w:p w:rsidR="00EC6426" w:rsidRDefault="00EC6426" w:rsidP="00EC6426">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Profit Split Method</w:t>
      </w:r>
    </w:p>
    <w:p w:rsidR="00EC6426" w:rsidRDefault="00EC6426" w:rsidP="00EC6426">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Transactional Net Margin Method</w:t>
      </w:r>
    </w:p>
    <w:p w:rsidR="00EC6426" w:rsidRPr="00756DAB" w:rsidRDefault="00B60C3A" w:rsidP="00EC6426">
      <w:pPr>
        <w:pStyle w:val="ListParagraph"/>
        <w:numPr>
          <w:ilvl w:val="0"/>
          <w:numId w:val="5"/>
        </w:numPr>
        <w:spacing w:line="360" w:lineRule="auto"/>
        <w:jc w:val="both"/>
        <w:rPr>
          <w:rFonts w:ascii="Times New Roman" w:hAnsi="Times New Roman" w:cs="Times New Roman"/>
          <w:sz w:val="24"/>
          <w:szCs w:val="24"/>
        </w:rPr>
      </w:pPr>
      <w:r w:rsidRPr="008E1092">
        <w:rPr>
          <w:rFonts w:ascii="Times New Roman" w:hAnsi="Times New Roman" w:cs="Times New Roman"/>
          <w:b/>
          <w:i/>
          <w:sz w:val="24"/>
          <w:szCs w:val="24"/>
        </w:rPr>
        <w:t>Co</w:t>
      </w:r>
      <w:r>
        <w:rPr>
          <w:rFonts w:ascii="Times New Roman" w:hAnsi="Times New Roman" w:cs="Times New Roman"/>
          <w:b/>
          <w:i/>
          <w:sz w:val="24"/>
          <w:szCs w:val="24"/>
        </w:rPr>
        <w:t>mparable Uncontrolled Price (CUP</w:t>
      </w:r>
      <w:r w:rsidRPr="008E1092">
        <w:rPr>
          <w:rFonts w:ascii="Times New Roman" w:hAnsi="Times New Roman" w:cs="Times New Roman"/>
          <w:b/>
          <w:i/>
          <w:sz w:val="24"/>
          <w:szCs w:val="24"/>
        </w:rPr>
        <w:t>) Method</w:t>
      </w:r>
      <w:r w:rsidR="00EC6426" w:rsidRPr="008E1092">
        <w:rPr>
          <w:rFonts w:ascii="Times New Roman" w:hAnsi="Times New Roman" w:cs="Times New Roman"/>
          <w:b/>
          <w:i/>
          <w:sz w:val="24"/>
          <w:szCs w:val="24"/>
        </w:rPr>
        <w:t xml:space="preserve">: </w:t>
      </w:r>
      <w:r w:rsidR="00EC6426" w:rsidRPr="008E1092">
        <w:rPr>
          <w:rFonts w:ascii="Times New Roman" w:hAnsi="Times New Roman" w:cs="Times New Roman"/>
          <w:sz w:val="24"/>
          <w:szCs w:val="24"/>
        </w:rPr>
        <w:t xml:space="preserve">it compares the price of a controlled transaction with the price of a comparable transaction between unrelated parties. The key </w:t>
      </w:r>
      <w:r w:rsidR="00EC6426" w:rsidRPr="008E1092">
        <w:rPr>
          <w:rFonts w:ascii="Times New Roman" w:hAnsi="Times New Roman" w:cs="Times New Roman"/>
          <w:sz w:val="24"/>
          <w:szCs w:val="24"/>
        </w:rPr>
        <w:lastRenderedPageBreak/>
        <w:t>requirement is that sufficient comparable transactions are available and can be reliably identified. This method is considered the most direct and reliable as it focuses on actual market transactions.</w:t>
      </w:r>
      <w:r w:rsidR="00EC6426" w:rsidRPr="008E1092">
        <w:rPr>
          <w:rFonts w:ascii="Times New Roman" w:hAnsi="Times New Roman" w:cs="Times New Roman"/>
          <w:i/>
          <w:sz w:val="24"/>
          <w:szCs w:val="24"/>
        </w:rPr>
        <w:t xml:space="preserve"> </w:t>
      </w:r>
      <w:r w:rsidR="00EC6426" w:rsidRPr="008E1092">
        <w:rPr>
          <w:rFonts w:ascii="Times New Roman" w:hAnsi="Times New Roman" w:cs="Times New Roman"/>
          <w:sz w:val="24"/>
          <w:szCs w:val="24"/>
        </w:rPr>
        <w:t>Thus, the CUP method is appropriate where there are no material differences between the transactions being compared or where such differences exist, reasonably accurate adjustments can be made to eliminate the effects of such material differences.</w:t>
      </w:r>
    </w:p>
    <w:p w:rsidR="00EC6426" w:rsidRPr="008E1092" w:rsidRDefault="00B60C3A" w:rsidP="00EC6426">
      <w:pPr>
        <w:pStyle w:val="ListParagraph"/>
        <w:numPr>
          <w:ilvl w:val="0"/>
          <w:numId w:val="5"/>
        </w:numPr>
        <w:tabs>
          <w:tab w:val="left" w:pos="2709"/>
        </w:tabs>
        <w:spacing w:line="360" w:lineRule="auto"/>
        <w:jc w:val="both"/>
        <w:rPr>
          <w:rFonts w:ascii="Times New Roman" w:hAnsi="Times New Roman" w:cs="Times New Roman"/>
          <w:sz w:val="24"/>
          <w:szCs w:val="24"/>
        </w:rPr>
      </w:pPr>
      <w:r>
        <w:rPr>
          <w:rFonts w:ascii="Times New Roman" w:hAnsi="Times New Roman" w:cs="Times New Roman"/>
          <w:b/>
          <w:i/>
          <w:sz w:val="24"/>
          <w:szCs w:val="24"/>
        </w:rPr>
        <w:t xml:space="preserve">Cost </w:t>
      </w:r>
      <w:proofErr w:type="gramStart"/>
      <w:r>
        <w:rPr>
          <w:rFonts w:ascii="Times New Roman" w:hAnsi="Times New Roman" w:cs="Times New Roman"/>
          <w:b/>
          <w:i/>
          <w:sz w:val="24"/>
          <w:szCs w:val="24"/>
        </w:rPr>
        <w:t>Plus</w:t>
      </w:r>
      <w:proofErr w:type="gramEnd"/>
      <w:r>
        <w:rPr>
          <w:rFonts w:ascii="Times New Roman" w:hAnsi="Times New Roman" w:cs="Times New Roman"/>
          <w:b/>
          <w:i/>
          <w:sz w:val="24"/>
          <w:szCs w:val="24"/>
        </w:rPr>
        <w:t xml:space="preserve"> Method (CPM</w:t>
      </w:r>
      <w:r w:rsidRPr="008E1092">
        <w:rPr>
          <w:rFonts w:ascii="Times New Roman" w:hAnsi="Times New Roman" w:cs="Times New Roman"/>
          <w:b/>
          <w:i/>
          <w:sz w:val="24"/>
          <w:szCs w:val="24"/>
        </w:rPr>
        <w:t>):</w:t>
      </w:r>
      <w:r w:rsidRPr="008E1092">
        <w:rPr>
          <w:rFonts w:ascii="Times New Roman" w:hAnsi="Times New Roman" w:cs="Times New Roman"/>
          <w:sz w:val="24"/>
          <w:szCs w:val="24"/>
        </w:rPr>
        <w:t xml:space="preserve"> </w:t>
      </w:r>
      <w:r w:rsidR="00EC6426" w:rsidRPr="008E1092">
        <w:rPr>
          <w:rFonts w:ascii="Times New Roman" w:hAnsi="Times New Roman" w:cs="Times New Roman"/>
          <w:sz w:val="24"/>
          <w:szCs w:val="24"/>
        </w:rPr>
        <w:t xml:space="preserve">this method involves adding a reasonable mark-up (usually a percentage) to the costs incurred by the supplying party to determine the transfer price. The costs may include direct costs, indirect costs and an appropriate allocation of overhead expenses. The mark up should be consistent with industry standards and reflect the functions performed, risks assumed and assets employed. </w:t>
      </w:r>
    </w:p>
    <w:p w:rsidR="00EC6426" w:rsidRPr="008E1092" w:rsidRDefault="00B60C3A" w:rsidP="00EC6426">
      <w:pPr>
        <w:pStyle w:val="ListParagraph"/>
        <w:numPr>
          <w:ilvl w:val="0"/>
          <w:numId w:val="5"/>
        </w:numPr>
        <w:tabs>
          <w:tab w:val="left" w:pos="2709"/>
          <w:tab w:val="left" w:pos="3394"/>
        </w:tabs>
        <w:spacing w:line="360" w:lineRule="auto"/>
        <w:jc w:val="both"/>
        <w:rPr>
          <w:rFonts w:ascii="Times New Roman" w:hAnsi="Times New Roman" w:cs="Times New Roman"/>
          <w:sz w:val="24"/>
          <w:szCs w:val="24"/>
        </w:rPr>
      </w:pPr>
      <w:r w:rsidRPr="008E1092">
        <w:rPr>
          <w:rFonts w:ascii="Times New Roman" w:hAnsi="Times New Roman" w:cs="Times New Roman"/>
          <w:b/>
          <w:i/>
          <w:sz w:val="24"/>
          <w:szCs w:val="24"/>
        </w:rPr>
        <w:t xml:space="preserve">Resale Price Method </w:t>
      </w:r>
      <w:r w:rsidR="00EC6426" w:rsidRPr="008E1092">
        <w:rPr>
          <w:rFonts w:ascii="Times New Roman" w:hAnsi="Times New Roman" w:cs="Times New Roman"/>
          <w:b/>
          <w:i/>
          <w:sz w:val="24"/>
          <w:szCs w:val="24"/>
        </w:rPr>
        <w:t>(RPM):</w:t>
      </w:r>
      <w:r w:rsidR="00EC6426" w:rsidRPr="008E1092">
        <w:rPr>
          <w:rFonts w:ascii="Times New Roman" w:hAnsi="Times New Roman" w:cs="Times New Roman"/>
          <w:sz w:val="24"/>
          <w:szCs w:val="24"/>
        </w:rPr>
        <w:t xml:space="preserve"> this method is used when a related party purchases goods from an associated enterprise and resells them to unrelated customers. It determines the appropriate transfer price by applying a reasonable gross margin to the resale price of the goods. This method takes into account the functions performed, risks assumed and assets employed by the reselling party.</w:t>
      </w:r>
    </w:p>
    <w:p w:rsidR="00EC6426" w:rsidRPr="008E1092" w:rsidRDefault="00B60C3A" w:rsidP="00EC6426">
      <w:pPr>
        <w:pStyle w:val="ListParagraph"/>
        <w:numPr>
          <w:ilvl w:val="0"/>
          <w:numId w:val="5"/>
        </w:numPr>
        <w:tabs>
          <w:tab w:val="left" w:pos="2709"/>
          <w:tab w:val="left" w:pos="3394"/>
        </w:tabs>
        <w:spacing w:line="360" w:lineRule="auto"/>
        <w:jc w:val="both"/>
        <w:rPr>
          <w:rFonts w:ascii="Times New Roman" w:hAnsi="Times New Roman" w:cs="Times New Roman"/>
          <w:sz w:val="24"/>
          <w:szCs w:val="24"/>
        </w:rPr>
      </w:pPr>
      <w:r w:rsidRPr="008E1092">
        <w:rPr>
          <w:rFonts w:ascii="Times New Roman" w:hAnsi="Times New Roman" w:cs="Times New Roman"/>
          <w:b/>
          <w:i/>
          <w:sz w:val="24"/>
          <w:szCs w:val="24"/>
        </w:rPr>
        <w:t xml:space="preserve">Profit Split Method </w:t>
      </w:r>
      <w:r w:rsidR="00EC6426" w:rsidRPr="008E1092">
        <w:rPr>
          <w:rFonts w:ascii="Times New Roman" w:hAnsi="Times New Roman" w:cs="Times New Roman"/>
          <w:b/>
          <w:i/>
          <w:sz w:val="24"/>
          <w:szCs w:val="24"/>
        </w:rPr>
        <w:t xml:space="preserve">(PSM): </w:t>
      </w:r>
      <w:r w:rsidR="00EC6426" w:rsidRPr="008E1092">
        <w:rPr>
          <w:rFonts w:ascii="Times New Roman" w:hAnsi="Times New Roman" w:cs="Times New Roman"/>
          <w:sz w:val="24"/>
          <w:szCs w:val="24"/>
        </w:rPr>
        <w:t xml:space="preserve"> the PSM is employed when the contributions of both parties involved in a controlled transaction cannot be reliably evaluated using other methods. This method allocates profits between related parties on an analysis of their relative contributions to the overall value created by the transaction.it requires a thorough understanding of the functions performed, risks assumed and assets employed by each party. </w:t>
      </w:r>
    </w:p>
    <w:p w:rsidR="00EC6426" w:rsidRDefault="00B60C3A" w:rsidP="00EC6426">
      <w:pPr>
        <w:pStyle w:val="ListParagraph"/>
        <w:numPr>
          <w:ilvl w:val="0"/>
          <w:numId w:val="5"/>
        </w:numPr>
        <w:tabs>
          <w:tab w:val="left" w:pos="2709"/>
          <w:tab w:val="left" w:pos="3394"/>
        </w:tabs>
        <w:spacing w:line="360" w:lineRule="auto"/>
        <w:jc w:val="both"/>
        <w:rPr>
          <w:rFonts w:ascii="Times New Roman" w:hAnsi="Times New Roman" w:cs="Times New Roman"/>
          <w:sz w:val="24"/>
          <w:szCs w:val="24"/>
        </w:rPr>
      </w:pPr>
      <w:r w:rsidRPr="008E1092">
        <w:rPr>
          <w:rFonts w:ascii="Times New Roman" w:hAnsi="Times New Roman" w:cs="Times New Roman"/>
          <w:b/>
          <w:i/>
          <w:sz w:val="24"/>
          <w:szCs w:val="24"/>
        </w:rPr>
        <w:t xml:space="preserve">Transactional Net Margin Method </w:t>
      </w:r>
      <w:r w:rsidR="00EC6426" w:rsidRPr="008E1092">
        <w:rPr>
          <w:rFonts w:ascii="Times New Roman" w:hAnsi="Times New Roman" w:cs="Times New Roman"/>
          <w:b/>
          <w:i/>
          <w:sz w:val="24"/>
          <w:szCs w:val="24"/>
        </w:rPr>
        <w:t>(TNMM):</w:t>
      </w:r>
      <w:r w:rsidR="00EC6426" w:rsidRPr="008E1092">
        <w:rPr>
          <w:rFonts w:ascii="Times New Roman" w:hAnsi="Times New Roman" w:cs="Times New Roman"/>
          <w:sz w:val="24"/>
          <w:szCs w:val="24"/>
        </w:rPr>
        <w:t xml:space="preserve">  this method compares the net profit margin of a controlled transaction to a comparable uncontrolled transaction or a set of comparable transactions. It assesses the profitability of the tested party by examining the ratio of its operating profit to an appropriate base such as sales, assets, or costs. This method focuses on the relative profitability of the tested party compared to unrelated parties engaged in similar transactions.</w:t>
      </w:r>
    </w:p>
    <w:p w:rsidR="00F730CF" w:rsidRDefault="00F730CF" w:rsidP="00F730CF">
      <w:pPr>
        <w:tabs>
          <w:tab w:val="left" w:pos="2709"/>
          <w:tab w:val="left" w:pos="3394"/>
        </w:tabs>
        <w:spacing w:line="360" w:lineRule="auto"/>
        <w:jc w:val="both"/>
        <w:rPr>
          <w:rFonts w:ascii="Times New Roman" w:hAnsi="Times New Roman" w:cs="Times New Roman"/>
          <w:sz w:val="24"/>
          <w:szCs w:val="24"/>
        </w:rPr>
      </w:pPr>
    </w:p>
    <w:p w:rsidR="00F730CF" w:rsidRPr="00F730CF" w:rsidRDefault="00F730CF" w:rsidP="00F730CF">
      <w:pPr>
        <w:tabs>
          <w:tab w:val="left" w:pos="2709"/>
          <w:tab w:val="left" w:pos="3394"/>
        </w:tabs>
        <w:spacing w:line="360" w:lineRule="auto"/>
        <w:jc w:val="both"/>
        <w:rPr>
          <w:rFonts w:ascii="Times New Roman" w:hAnsi="Times New Roman" w:cs="Times New Roman"/>
          <w:sz w:val="24"/>
          <w:szCs w:val="24"/>
        </w:rPr>
      </w:pPr>
    </w:p>
    <w:p w:rsidR="00EC6426" w:rsidRPr="00EC6426" w:rsidRDefault="00AB29CF" w:rsidP="00EC6426">
      <w:pPr>
        <w:tabs>
          <w:tab w:val="left" w:pos="2709"/>
          <w:tab w:val="left" w:pos="3394"/>
        </w:tabs>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1</w:t>
      </w:r>
      <w:r w:rsidR="008B3C6D">
        <w:rPr>
          <w:rFonts w:ascii="Times New Roman" w:hAnsi="Times New Roman" w:cs="Times New Roman"/>
          <w:b/>
          <w:sz w:val="24"/>
          <w:szCs w:val="24"/>
        </w:rPr>
        <w:t>.4</w:t>
      </w:r>
      <w:r>
        <w:rPr>
          <w:rFonts w:ascii="Times New Roman" w:hAnsi="Times New Roman" w:cs="Times New Roman"/>
          <w:b/>
          <w:sz w:val="24"/>
          <w:szCs w:val="24"/>
        </w:rPr>
        <w:t xml:space="preserve"> </w:t>
      </w:r>
      <w:r w:rsidR="00EC6426" w:rsidRPr="00EC6426">
        <w:rPr>
          <w:rFonts w:ascii="Times New Roman" w:hAnsi="Times New Roman" w:cs="Times New Roman"/>
          <w:b/>
          <w:sz w:val="24"/>
          <w:szCs w:val="24"/>
        </w:rPr>
        <w:t>REGULATORY FRAMEWORK AND COMPLIANCE</w:t>
      </w:r>
    </w:p>
    <w:p w:rsidR="00EC6426" w:rsidRDefault="00EC6426" w:rsidP="00EC6426">
      <w:pPr>
        <w:spacing w:line="360" w:lineRule="auto"/>
        <w:jc w:val="both"/>
        <w:rPr>
          <w:rFonts w:ascii="Times New Roman" w:hAnsi="Times New Roman" w:cs="Times New Roman"/>
          <w:sz w:val="24"/>
          <w:szCs w:val="24"/>
        </w:rPr>
      </w:pPr>
      <w:r>
        <w:rPr>
          <w:rFonts w:ascii="Times New Roman" w:hAnsi="Times New Roman" w:cs="Times New Roman"/>
          <w:sz w:val="24"/>
          <w:szCs w:val="24"/>
        </w:rPr>
        <w:t>At the International level, the Organization for Economic Co-operation and Development (OECD) has developed Guidelines on Transfer Pricing to assist MNEs and Tax Administrators in the evaluation of Transfer Pricing transactions and provide an element of consistency among countries in the application of such rules.</w:t>
      </w:r>
    </w:p>
    <w:p w:rsidR="00EC6426" w:rsidRDefault="00EC6426" w:rsidP="00EC6426">
      <w:pPr>
        <w:spacing w:line="360" w:lineRule="auto"/>
        <w:jc w:val="both"/>
        <w:rPr>
          <w:rFonts w:ascii="Times New Roman" w:hAnsi="Times New Roman" w:cs="Times New Roman"/>
          <w:sz w:val="24"/>
          <w:szCs w:val="24"/>
        </w:rPr>
      </w:pPr>
      <w:r>
        <w:rPr>
          <w:rFonts w:ascii="Times New Roman" w:hAnsi="Times New Roman" w:cs="Times New Roman"/>
          <w:sz w:val="24"/>
          <w:szCs w:val="24"/>
        </w:rPr>
        <w:t>The first Guidelines were released in 1995 and have undergone various revisions over the years. The most recent edition is the 2022 Guidelines which provide guidance on the application of the ‘arm’s length principle’ which represents the international consensus on the valuation, for income tax purposes, cross-border transactions between associated enterprises</w:t>
      </w:r>
      <w:r>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w:t>
      </w:r>
    </w:p>
    <w:p w:rsidR="00EC6426" w:rsidRDefault="00EC6426" w:rsidP="00EC642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There is also the OECD Model Convention Model which was first published in 1963, then later in 1977 following up some work already done by the League of Nations; and then after World War II by the United Nations. </w:t>
      </w:r>
    </w:p>
    <w:p w:rsidR="00EC6426" w:rsidRDefault="00EC6426" w:rsidP="00EC6426">
      <w:pPr>
        <w:spacing w:line="360" w:lineRule="auto"/>
        <w:jc w:val="both"/>
        <w:rPr>
          <w:rFonts w:ascii="Times New Roman" w:hAnsi="Times New Roman" w:cs="Times New Roman"/>
          <w:sz w:val="24"/>
          <w:szCs w:val="24"/>
        </w:rPr>
      </w:pPr>
      <w:r>
        <w:rPr>
          <w:rFonts w:ascii="Times New Roman" w:hAnsi="Times New Roman" w:cs="Times New Roman"/>
          <w:sz w:val="24"/>
          <w:szCs w:val="24"/>
        </w:rPr>
        <w:t>The UN Model is in many respects similar to the OECD Model but the differences (such as preserving greater taxation rights to countries hosting investments) are very significant, especially for developing countries.</w:t>
      </w:r>
    </w:p>
    <w:p w:rsidR="00EC6426" w:rsidRDefault="00EC6426" w:rsidP="00EC6426">
      <w:pPr>
        <w:spacing w:line="360" w:lineRule="auto"/>
        <w:jc w:val="both"/>
        <w:rPr>
          <w:rFonts w:ascii="Times New Roman" w:hAnsi="Times New Roman" w:cs="Times New Roman"/>
          <w:sz w:val="24"/>
          <w:szCs w:val="24"/>
        </w:rPr>
      </w:pPr>
      <w:r>
        <w:rPr>
          <w:rFonts w:ascii="Times New Roman" w:hAnsi="Times New Roman" w:cs="Times New Roman"/>
          <w:sz w:val="24"/>
          <w:szCs w:val="24"/>
        </w:rPr>
        <w:t>There has been a widespread view, historically, that the OECD Model was most appropriate for negotiations between developed countries and less suitable for capital importing on developing countries. In general, it can be said that the UN Model preserves more taxation rights to the source state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Host state of investment) or capital importing country than the OECD model and the UN Model has been embraced by many developing states as the basis of their treaty policy. Some developed countries also adopt some UN Model provisions, and at times it has influenced changes to give aspects of the OECD Model a greater source country orientation</w:t>
      </w:r>
      <w:r>
        <w:rPr>
          <w:rStyle w:val="FootnoteReference"/>
          <w:rFonts w:ascii="Times New Roman" w:hAnsi="Times New Roman" w:cs="Times New Roman"/>
          <w:sz w:val="24"/>
          <w:szCs w:val="24"/>
        </w:rPr>
        <w:footnoteReference w:id="15"/>
      </w:r>
      <w:r>
        <w:rPr>
          <w:rFonts w:ascii="Times New Roman" w:hAnsi="Times New Roman" w:cs="Times New Roman"/>
          <w:sz w:val="24"/>
          <w:szCs w:val="24"/>
        </w:rPr>
        <w:t>.</w:t>
      </w:r>
    </w:p>
    <w:p w:rsidR="00EC6426" w:rsidRDefault="00EC6426" w:rsidP="00EC642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 the economy expands into every corner of the world, many national authorities are seeking more effective ways to protect their tax bases. Thus, both developed and developing countries have </w:t>
      </w:r>
      <w:r>
        <w:rPr>
          <w:rFonts w:ascii="Times New Roman" w:hAnsi="Times New Roman" w:cs="Times New Roman"/>
          <w:sz w:val="24"/>
          <w:szCs w:val="24"/>
        </w:rPr>
        <w:lastRenderedPageBreak/>
        <w:t>established transfer pricing regulations that align with international standards often based on the guidelines set by the Organization for Economic Co-operation and Development (OECD). These regulations aim to prevent base erosion and profit shifting by ensuring that transfer prices are determined through methods based on comparability and economic substance</w:t>
      </w:r>
      <w:r>
        <w:rPr>
          <w:rStyle w:val="FootnoteReference"/>
          <w:rFonts w:ascii="Times New Roman" w:hAnsi="Times New Roman" w:cs="Times New Roman"/>
          <w:sz w:val="24"/>
          <w:szCs w:val="24"/>
        </w:rPr>
        <w:footnoteReference w:id="16"/>
      </w:r>
      <w:r>
        <w:rPr>
          <w:rFonts w:ascii="Times New Roman" w:hAnsi="Times New Roman" w:cs="Times New Roman"/>
          <w:sz w:val="24"/>
          <w:szCs w:val="24"/>
        </w:rPr>
        <w:t>.</w:t>
      </w:r>
    </w:p>
    <w:p w:rsidR="00EC6426" w:rsidRPr="00917794" w:rsidRDefault="00EC6426" w:rsidP="00917794">
      <w:pPr>
        <w:spacing w:line="360" w:lineRule="auto"/>
        <w:jc w:val="both"/>
        <w:rPr>
          <w:rFonts w:ascii="Times New Roman" w:hAnsi="Times New Roman" w:cs="Times New Roman"/>
          <w:sz w:val="24"/>
          <w:szCs w:val="24"/>
        </w:rPr>
      </w:pPr>
      <w:r>
        <w:rPr>
          <w:rFonts w:ascii="Times New Roman" w:hAnsi="Times New Roman" w:cs="Times New Roman"/>
          <w:sz w:val="24"/>
          <w:szCs w:val="24"/>
        </w:rPr>
        <w:t>Transfer pricing regimes are creations of domestic law</w:t>
      </w:r>
      <w:r w:rsidR="00AB29CF">
        <w:rPr>
          <w:rFonts w:ascii="Times New Roman" w:hAnsi="Times New Roman" w:cs="Times New Roman"/>
          <w:sz w:val="24"/>
          <w:szCs w:val="24"/>
        </w:rPr>
        <w:t>,</w:t>
      </w:r>
      <w:r>
        <w:rPr>
          <w:rFonts w:ascii="Times New Roman" w:hAnsi="Times New Roman" w:cs="Times New Roman"/>
          <w:sz w:val="24"/>
          <w:szCs w:val="24"/>
        </w:rPr>
        <w:t xml:space="preserve"> and each country</w:t>
      </w:r>
      <w:r w:rsidR="00AB29CF">
        <w:rPr>
          <w:rFonts w:ascii="Times New Roman" w:hAnsi="Times New Roman" w:cs="Times New Roman"/>
          <w:sz w:val="24"/>
          <w:szCs w:val="24"/>
        </w:rPr>
        <w:t xml:space="preserve"> are required to formulate detailed domestic legislation</w:t>
      </w:r>
      <w:r>
        <w:rPr>
          <w:rFonts w:ascii="Times New Roman" w:hAnsi="Times New Roman" w:cs="Times New Roman"/>
          <w:sz w:val="24"/>
          <w:szCs w:val="24"/>
        </w:rPr>
        <w:t xml:space="preserve"> for implementing transfer prici</w:t>
      </w:r>
      <w:r w:rsidR="00AB29CF">
        <w:rPr>
          <w:rFonts w:ascii="Times New Roman" w:hAnsi="Times New Roman" w:cs="Times New Roman"/>
          <w:sz w:val="24"/>
          <w:szCs w:val="24"/>
        </w:rPr>
        <w:t>ng rules</w:t>
      </w:r>
      <w:r>
        <w:rPr>
          <w:rFonts w:ascii="Times New Roman" w:hAnsi="Times New Roman" w:cs="Times New Roman"/>
          <w:sz w:val="24"/>
          <w:szCs w:val="24"/>
        </w:rPr>
        <w:t>.</w:t>
      </w:r>
      <w:r w:rsidR="00917794">
        <w:rPr>
          <w:rFonts w:ascii="Times New Roman" w:hAnsi="Times New Roman" w:cs="Times New Roman"/>
          <w:sz w:val="24"/>
          <w:szCs w:val="24"/>
        </w:rPr>
        <w:t xml:space="preserve"> </w:t>
      </w:r>
      <w:r>
        <w:rPr>
          <w:rFonts w:ascii="Times New Roman" w:hAnsi="Times New Roman" w:cs="Times New Roman"/>
          <w:color w:val="000000"/>
          <w:sz w:val="24"/>
          <w:szCs w:val="24"/>
        </w:rPr>
        <w:t>The United Nations (UN) and OECD Model Conventions, the OECD Guidelines</w:t>
      </w:r>
      <w:r>
        <w:rPr>
          <w:rStyle w:val="FootnoteReference"/>
          <w:rFonts w:ascii="Times New Roman" w:hAnsi="Times New Roman" w:cs="Times New Roman"/>
          <w:color w:val="000000"/>
          <w:sz w:val="24"/>
          <w:szCs w:val="24"/>
        </w:rPr>
        <w:footnoteReference w:id="17"/>
      </w:r>
      <w:r>
        <w:rPr>
          <w:rFonts w:ascii="Times New Roman" w:hAnsi="Times New Roman" w:cs="Times New Roman"/>
          <w:color w:val="000000"/>
          <w:sz w:val="24"/>
          <w:szCs w:val="24"/>
        </w:rPr>
        <w:t xml:space="preserve"> and Domestic Legislation of various countries have provided examples for the creation of transfer pricing legislation by nation states worldwide, as a response to increasing globalization of business and the concern that this may be abused to the detriment of countries without such legislation. Many other countries depend on anti-avoidance rules to deal with the most abusive forms of transfer pricing.</w:t>
      </w:r>
      <w:r w:rsidR="00163B5B">
        <w:rPr>
          <w:rFonts w:ascii="Times New Roman" w:hAnsi="Times New Roman" w:cs="Times New Roman"/>
          <w:color w:val="000000"/>
          <w:sz w:val="24"/>
          <w:szCs w:val="24"/>
        </w:rPr>
        <w:t xml:space="preserve"> </w:t>
      </w:r>
    </w:p>
    <w:p w:rsidR="00EC6426" w:rsidRDefault="00EC6426" w:rsidP="00EC6426">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Nigeria ha</w:t>
      </w:r>
      <w:r w:rsidR="00AB29CF">
        <w:rPr>
          <w:rFonts w:ascii="Times New Roman" w:hAnsi="Times New Roman" w:cs="Times New Roman"/>
          <w:color w:val="000000"/>
          <w:sz w:val="24"/>
          <w:szCs w:val="24"/>
        </w:rPr>
        <w:t>s a Transfer Pricing regulation</w:t>
      </w:r>
      <w:r>
        <w:rPr>
          <w:rFonts w:ascii="Times New Roman" w:hAnsi="Times New Roman" w:cs="Times New Roman"/>
          <w:color w:val="000000"/>
          <w:sz w:val="24"/>
          <w:szCs w:val="24"/>
        </w:rPr>
        <w:t>, which is known as the Income Tax (Transfer Pricing Regulations), 2018 that was issued by the Federal Inland Revenue Service (FIRS) with effect from 12</w:t>
      </w:r>
      <w:r w:rsidR="00AB29CF" w:rsidRPr="00AB29CF">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March 2018</w:t>
      </w:r>
      <w:r>
        <w:rPr>
          <w:rStyle w:val="FootnoteReference"/>
          <w:rFonts w:ascii="Times New Roman" w:hAnsi="Times New Roman" w:cs="Times New Roman"/>
          <w:color w:val="000000"/>
          <w:sz w:val="24"/>
          <w:szCs w:val="24"/>
        </w:rPr>
        <w:footnoteReference w:id="18"/>
      </w:r>
      <w:r>
        <w:rPr>
          <w:rFonts w:ascii="Times New Roman" w:hAnsi="Times New Roman" w:cs="Times New Roman"/>
          <w:color w:val="000000"/>
          <w:sz w:val="24"/>
          <w:szCs w:val="24"/>
        </w:rPr>
        <w:t>.  The Regulation was made under the Federal Inland Revenue Service (Establishment) Act, 2007</w:t>
      </w:r>
      <w:r>
        <w:rPr>
          <w:rStyle w:val="FootnoteReference"/>
          <w:rFonts w:ascii="Times New Roman" w:hAnsi="Times New Roman" w:cs="Times New Roman"/>
          <w:color w:val="000000"/>
          <w:sz w:val="24"/>
          <w:szCs w:val="24"/>
        </w:rPr>
        <w:footnoteReference w:id="19"/>
      </w:r>
      <w:r>
        <w:rPr>
          <w:rFonts w:ascii="Times New Roman" w:hAnsi="Times New Roman" w:cs="Times New Roman"/>
          <w:color w:val="000000"/>
          <w:sz w:val="24"/>
          <w:szCs w:val="24"/>
        </w:rPr>
        <w:t>. The objectives of the Regulations are:</w:t>
      </w:r>
    </w:p>
    <w:p w:rsidR="00EC6426" w:rsidRDefault="00EC6426" w:rsidP="00EC6426">
      <w:pPr>
        <w:pStyle w:val="ListParagraph"/>
        <w:numPr>
          <w:ilvl w:val="0"/>
          <w:numId w:val="3"/>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Ensure that Nigeria is able to tax on an appropriate taxable basis corresponding to the economic activities deployed by taxable persons in Nigeria, including in their transactions and dealings with associated enterprises.</w:t>
      </w:r>
    </w:p>
    <w:p w:rsidR="00EC6426" w:rsidRDefault="00EC6426" w:rsidP="00EC6426">
      <w:pPr>
        <w:pStyle w:val="ListParagraph"/>
        <w:numPr>
          <w:ilvl w:val="0"/>
          <w:numId w:val="3"/>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Provide the Nigerian authorities the tools to fight tax evasion through over or under pricing of controlled transactions between associated enterprises.</w:t>
      </w:r>
    </w:p>
    <w:p w:rsidR="00EC6426" w:rsidRDefault="00EC6426" w:rsidP="00EC6426">
      <w:pPr>
        <w:pStyle w:val="ListParagraph"/>
        <w:numPr>
          <w:ilvl w:val="0"/>
          <w:numId w:val="3"/>
        </w:num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Reduce the risk of economic double taxation</w:t>
      </w:r>
    </w:p>
    <w:p w:rsidR="00EC6426" w:rsidRDefault="00EC6426" w:rsidP="00EC6426">
      <w:pPr>
        <w:pStyle w:val="ListParagraph"/>
        <w:numPr>
          <w:ilvl w:val="0"/>
          <w:numId w:val="3"/>
        </w:num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Provide a level playing field between multinational enterprises and independent enterprises doing business within Nigeria </w:t>
      </w:r>
    </w:p>
    <w:p w:rsidR="00EC6426" w:rsidRDefault="00EC6426" w:rsidP="00EC6426">
      <w:pPr>
        <w:pStyle w:val="ListParagraph"/>
        <w:numPr>
          <w:ilvl w:val="0"/>
          <w:numId w:val="3"/>
        </w:num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Provide taxable persons with certainty of transfer pricing treatment in Nigeria.</w:t>
      </w:r>
    </w:p>
    <w:p w:rsidR="00EC6426" w:rsidRDefault="00EC6426" w:rsidP="00EC6426">
      <w:pPr>
        <w:spacing w:line="360" w:lineRule="auto"/>
        <w:jc w:val="both"/>
        <w:rPr>
          <w:rFonts w:ascii="Times New Roman" w:hAnsi="Times New Roman" w:cs="Times New Roman"/>
          <w:sz w:val="24"/>
          <w:szCs w:val="24"/>
        </w:rPr>
      </w:pPr>
      <w:r>
        <w:rPr>
          <w:rFonts w:ascii="Times New Roman" w:hAnsi="Times New Roman" w:cs="Times New Roman"/>
          <w:sz w:val="24"/>
          <w:szCs w:val="24"/>
        </w:rPr>
        <w:t>In addition, the Finance Act 2019</w:t>
      </w:r>
      <w:r>
        <w:rPr>
          <w:rStyle w:val="FootnoteReference"/>
          <w:rFonts w:ascii="Times New Roman" w:hAnsi="Times New Roman" w:cs="Times New Roman"/>
          <w:sz w:val="24"/>
          <w:szCs w:val="24"/>
        </w:rPr>
        <w:footnoteReference w:id="20"/>
      </w:r>
      <w:r>
        <w:rPr>
          <w:rFonts w:ascii="Times New Roman" w:hAnsi="Times New Roman" w:cs="Times New Roman"/>
          <w:sz w:val="24"/>
          <w:szCs w:val="24"/>
        </w:rPr>
        <w:t xml:space="preserve"> contains various tax changes, which affected transfer pricing with effect from 13</w:t>
      </w:r>
      <w:r w:rsidR="00AB29CF" w:rsidRPr="00AB29CF">
        <w:rPr>
          <w:rFonts w:ascii="Times New Roman" w:hAnsi="Times New Roman" w:cs="Times New Roman"/>
          <w:sz w:val="24"/>
          <w:szCs w:val="24"/>
          <w:vertAlign w:val="superscript"/>
        </w:rPr>
        <w:t>th</w:t>
      </w:r>
      <w:r>
        <w:rPr>
          <w:rFonts w:ascii="Times New Roman" w:hAnsi="Times New Roman" w:cs="Times New Roman"/>
          <w:sz w:val="24"/>
          <w:szCs w:val="24"/>
        </w:rPr>
        <w:t xml:space="preserve"> January 2020.  Section 24 (a) introduced a restriction on deductibility of interest for a Nigerian company or a fixed base of a foreign company in Nigeria that has incurred any interest or deduction of similar nature where loans or debts are obtained from a foreign connected person, such interest or deduction allowed under section 24(a) of C</w:t>
      </w:r>
      <w:r w:rsidR="00AB29CF">
        <w:rPr>
          <w:rFonts w:ascii="Times New Roman" w:hAnsi="Times New Roman" w:cs="Times New Roman"/>
          <w:sz w:val="24"/>
          <w:szCs w:val="24"/>
        </w:rPr>
        <w:t xml:space="preserve">ompany </w:t>
      </w:r>
      <w:r>
        <w:rPr>
          <w:rFonts w:ascii="Times New Roman" w:hAnsi="Times New Roman" w:cs="Times New Roman"/>
          <w:sz w:val="24"/>
          <w:szCs w:val="24"/>
        </w:rPr>
        <w:t>I</w:t>
      </w:r>
      <w:r w:rsidR="00AB29CF">
        <w:rPr>
          <w:rFonts w:ascii="Times New Roman" w:hAnsi="Times New Roman" w:cs="Times New Roman"/>
          <w:sz w:val="24"/>
          <w:szCs w:val="24"/>
        </w:rPr>
        <w:t xml:space="preserve">ncome </w:t>
      </w:r>
      <w:r>
        <w:rPr>
          <w:rFonts w:ascii="Times New Roman" w:hAnsi="Times New Roman" w:cs="Times New Roman"/>
          <w:sz w:val="24"/>
          <w:szCs w:val="24"/>
        </w:rPr>
        <w:t>T</w:t>
      </w:r>
      <w:r w:rsidR="00AB29CF">
        <w:rPr>
          <w:rFonts w:ascii="Times New Roman" w:hAnsi="Times New Roman" w:cs="Times New Roman"/>
          <w:sz w:val="24"/>
          <w:szCs w:val="24"/>
        </w:rPr>
        <w:t xml:space="preserve">ax </w:t>
      </w:r>
      <w:r>
        <w:rPr>
          <w:rFonts w:ascii="Times New Roman" w:hAnsi="Times New Roman" w:cs="Times New Roman"/>
          <w:sz w:val="24"/>
          <w:szCs w:val="24"/>
        </w:rPr>
        <w:t>A</w:t>
      </w:r>
      <w:r w:rsidR="00AB29CF">
        <w:rPr>
          <w:rFonts w:ascii="Times New Roman" w:hAnsi="Times New Roman" w:cs="Times New Roman"/>
          <w:sz w:val="24"/>
          <w:szCs w:val="24"/>
        </w:rPr>
        <w:t>ct</w:t>
      </w:r>
      <w:r>
        <w:rPr>
          <w:rFonts w:ascii="Times New Roman" w:hAnsi="Times New Roman" w:cs="Times New Roman"/>
          <w:sz w:val="24"/>
          <w:szCs w:val="24"/>
        </w:rPr>
        <w:t xml:space="preserve"> shall be restricted to only 30% of the company’s earnings before interest, tax, depreciation and amortization.</w:t>
      </w:r>
    </w:p>
    <w:p w:rsidR="00EC6426" w:rsidRDefault="00EC6426" w:rsidP="00EC6426">
      <w:pPr>
        <w:spacing w:line="360" w:lineRule="auto"/>
        <w:jc w:val="both"/>
        <w:rPr>
          <w:rFonts w:ascii="Times New Roman" w:hAnsi="Times New Roman" w:cs="Times New Roman"/>
          <w:sz w:val="24"/>
          <w:szCs w:val="24"/>
        </w:rPr>
      </w:pPr>
      <w:r>
        <w:rPr>
          <w:rFonts w:ascii="Times New Roman" w:hAnsi="Times New Roman" w:cs="Times New Roman"/>
          <w:sz w:val="24"/>
          <w:szCs w:val="24"/>
        </w:rPr>
        <w:t>There is also the introduction of E-TP PLAT 2.0 in March 2020</w:t>
      </w:r>
      <w:r>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by the Federal Inland Revenue Service (FIRS), this electronic filing solution allows companies with Transfer Pricing and Country by Country Reporting obligations to file their annual returns electronically. The platform eased the compliance burden on Taxpayers, allows FIRS better monitor compliance, and analyses the data provided by taxpayers in their returns.</w:t>
      </w:r>
    </w:p>
    <w:p w:rsidR="00EC6426" w:rsidRDefault="00EC6426" w:rsidP="00EC6426">
      <w:pPr>
        <w:spacing w:line="360" w:lineRule="auto"/>
        <w:jc w:val="both"/>
        <w:rPr>
          <w:rFonts w:ascii="Times New Roman" w:hAnsi="Times New Roman" w:cs="Times New Roman"/>
          <w:sz w:val="24"/>
          <w:szCs w:val="24"/>
        </w:rPr>
      </w:pPr>
      <w:r>
        <w:rPr>
          <w:rFonts w:ascii="Times New Roman" w:hAnsi="Times New Roman" w:cs="Times New Roman"/>
          <w:sz w:val="24"/>
          <w:szCs w:val="24"/>
        </w:rPr>
        <w:t>To further, intensify efforts towards Transfer Pricing compliance, the FIRS conducts Transfer Pricing audit exercises by requesting the submission of Transfer Pricing documentation and other supporting documents. The audit focuses primarily on reviewing Transfer Pricing Returns and supporting documents to independently confirm the arm’s length nature of the related party transactions as documented in the reports</w:t>
      </w:r>
      <w:r>
        <w:rPr>
          <w:rStyle w:val="FootnoteReference"/>
          <w:rFonts w:ascii="Times New Roman" w:hAnsi="Times New Roman" w:cs="Times New Roman"/>
          <w:sz w:val="24"/>
          <w:szCs w:val="24"/>
        </w:rPr>
        <w:footnoteReference w:id="22"/>
      </w:r>
      <w:r>
        <w:rPr>
          <w:rFonts w:ascii="Times New Roman" w:hAnsi="Times New Roman" w:cs="Times New Roman"/>
          <w:sz w:val="24"/>
          <w:szCs w:val="24"/>
        </w:rPr>
        <w:t xml:space="preserve">. In the Transfer Pricing maiden case in Nigeria, </w:t>
      </w:r>
      <w:r w:rsidRPr="003C0FF2">
        <w:rPr>
          <w:rFonts w:ascii="Times New Roman" w:hAnsi="Times New Roman" w:cs="Times New Roman"/>
          <w:i/>
          <w:sz w:val="24"/>
          <w:szCs w:val="24"/>
        </w:rPr>
        <w:t xml:space="preserve">Prime </w:t>
      </w:r>
      <w:proofErr w:type="spellStart"/>
      <w:r w:rsidRPr="003C0FF2">
        <w:rPr>
          <w:rFonts w:ascii="Times New Roman" w:hAnsi="Times New Roman" w:cs="Times New Roman"/>
          <w:i/>
          <w:sz w:val="24"/>
          <w:szCs w:val="24"/>
        </w:rPr>
        <w:t>Plastichem</w:t>
      </w:r>
      <w:proofErr w:type="spellEnd"/>
      <w:r w:rsidRPr="003C0FF2">
        <w:rPr>
          <w:rFonts w:ascii="Times New Roman" w:hAnsi="Times New Roman" w:cs="Times New Roman"/>
          <w:i/>
          <w:sz w:val="24"/>
          <w:szCs w:val="24"/>
        </w:rPr>
        <w:t xml:space="preserve"> Nigeria Ltd (PPNL) v Federal Inland Revenue Service (FIRS)</w:t>
      </w:r>
      <w:r>
        <w:rPr>
          <w:rStyle w:val="FootnoteReference"/>
          <w:rFonts w:ascii="Times New Roman" w:hAnsi="Times New Roman" w:cs="Times New Roman"/>
          <w:i/>
          <w:sz w:val="24"/>
          <w:szCs w:val="24"/>
        </w:rPr>
        <w:footnoteReference w:id="23"/>
      </w:r>
      <w:r>
        <w:rPr>
          <w:rFonts w:ascii="Times New Roman" w:hAnsi="Times New Roman" w:cs="Times New Roman"/>
          <w:sz w:val="24"/>
          <w:szCs w:val="24"/>
        </w:rPr>
        <w:t xml:space="preserve">, in 2013 PPNL applied the Comparable Uncontrolled Price (CUP) method in evaluating the arm’s length nature of its purchase of petrochemical products from its offshore-related party, </w:t>
      </w:r>
      <w:proofErr w:type="spellStart"/>
      <w:r>
        <w:rPr>
          <w:rFonts w:ascii="Times New Roman" w:hAnsi="Times New Roman" w:cs="Times New Roman"/>
          <w:sz w:val="24"/>
          <w:szCs w:val="24"/>
        </w:rPr>
        <w:t>Vinmar</w:t>
      </w:r>
      <w:proofErr w:type="spellEnd"/>
      <w:r>
        <w:rPr>
          <w:rFonts w:ascii="Times New Roman" w:hAnsi="Times New Roman" w:cs="Times New Roman"/>
          <w:sz w:val="24"/>
          <w:szCs w:val="24"/>
        </w:rPr>
        <w:t xml:space="preserve"> Overseas Limited (VOL).  In 2014, it applied the Transactional Net Margin Method (TNMM) for the same purpose. The Tax Appeal Tribunal ruled in </w:t>
      </w:r>
      <w:proofErr w:type="spellStart"/>
      <w:r>
        <w:rPr>
          <w:rFonts w:ascii="Times New Roman" w:hAnsi="Times New Roman" w:cs="Times New Roman"/>
          <w:sz w:val="24"/>
          <w:szCs w:val="24"/>
        </w:rPr>
        <w:t>favour</w:t>
      </w:r>
      <w:proofErr w:type="spellEnd"/>
      <w:r>
        <w:rPr>
          <w:rFonts w:ascii="Times New Roman" w:hAnsi="Times New Roman" w:cs="Times New Roman"/>
          <w:sz w:val="24"/>
          <w:szCs w:val="24"/>
        </w:rPr>
        <w:t xml:space="preserve"> of FIRS and required PPNL to pay the taxes due of about 1.7 billion naira. Dissatisfied, with the additional assessment of ₦1,738,481,875.33 issued by the </w:t>
      </w:r>
      <w:r>
        <w:rPr>
          <w:rFonts w:ascii="Times New Roman" w:hAnsi="Times New Roman" w:cs="Times New Roman"/>
          <w:sz w:val="24"/>
          <w:szCs w:val="24"/>
        </w:rPr>
        <w:lastRenderedPageBreak/>
        <w:t>FIRS arising from the TP audit of its Related Party Transaction for the 2013 and 2014 Financial Years and other grounds, PPNL approached TAT.</w:t>
      </w:r>
    </w:p>
    <w:p w:rsidR="00AB29CF" w:rsidRDefault="00EC6426" w:rsidP="00EC642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Tribunal opined that the choice of the TNMM method by the FIRS rather than the CUP method used by the company in benchmarking the company’s transactions is in line with the TP Regulations and the OECD TP Guidelines based on the following reasons; </w:t>
      </w:r>
    </w:p>
    <w:p w:rsidR="00EC6426" w:rsidRPr="00165042" w:rsidRDefault="00EC6426" w:rsidP="00AB29CF">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although the company used CUP method, it could not provide a suitable justification for its use, the company admitted that it changed from CUP method to TNMM in the subsequent year for a lack of reliable data, based on paragraph 5 (2) of the TP Regulations, the availability of reliable information is a necessary condition in determining the most appropriate TP method, consistency in the application of a benchmarking method is crucial according to the OECD TP Guidelines of 2010 of which the company defaulted thus the Tribunal ruled in favor of FIRS on all grounds. The Tribunal’s decision in this case reiterate the provision of Regulation 6 (10) of the TP Regulation, which places the burden of proof of the arm’s length nature of a controlled transaction on the taxable person</w:t>
      </w:r>
      <w:r>
        <w:rPr>
          <w:rStyle w:val="FootnoteReference"/>
          <w:rFonts w:ascii="Times New Roman" w:hAnsi="Times New Roman" w:cs="Times New Roman"/>
          <w:sz w:val="24"/>
          <w:szCs w:val="24"/>
        </w:rPr>
        <w:footnoteReference w:id="24"/>
      </w:r>
      <w:r>
        <w:rPr>
          <w:rFonts w:ascii="Times New Roman" w:hAnsi="Times New Roman" w:cs="Times New Roman"/>
          <w:sz w:val="24"/>
          <w:szCs w:val="24"/>
        </w:rPr>
        <w:t>.</w:t>
      </w:r>
    </w:p>
    <w:p w:rsidR="00EC6426" w:rsidRPr="00972071" w:rsidRDefault="00EC6426" w:rsidP="00EC6426">
      <w:pPr>
        <w:spacing w:line="360" w:lineRule="auto"/>
        <w:jc w:val="both"/>
        <w:rPr>
          <w:rFonts w:ascii="Times New Roman" w:hAnsi="Times New Roman" w:cs="Times New Roman"/>
          <w:sz w:val="24"/>
          <w:szCs w:val="24"/>
        </w:rPr>
      </w:pPr>
      <w:r>
        <w:rPr>
          <w:rFonts w:ascii="Times New Roman" w:hAnsi="Times New Roman" w:cs="Times New Roman"/>
          <w:sz w:val="24"/>
          <w:szCs w:val="24"/>
        </w:rPr>
        <w:t>Compliance with transfer pricing regulations is crucial for MNCs to avoid legal and financial consequences. Non-compliance can lead to audits, penalties, double taxation and reputational damage. Therefore, it is imperative for MNCs to develop robust transfer pricing policies, maintain accurate documentation and conduct thorough analysis to demonstrate that their transfer pricing practices are consistent with the arm’s length principle.</w:t>
      </w:r>
    </w:p>
    <w:p w:rsidR="00EC6426" w:rsidRPr="000E1A25" w:rsidRDefault="008B3C6D" w:rsidP="00EC6426">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1.5</w:t>
      </w:r>
      <w:r w:rsidR="00AB29CF">
        <w:rPr>
          <w:rFonts w:ascii="Times New Roman" w:hAnsi="Times New Roman" w:cs="Times New Roman"/>
          <w:b/>
          <w:sz w:val="24"/>
          <w:szCs w:val="24"/>
        </w:rPr>
        <w:t xml:space="preserve"> </w:t>
      </w:r>
      <w:r w:rsidR="00EC6426" w:rsidRPr="000E1A25">
        <w:rPr>
          <w:rFonts w:ascii="Times New Roman" w:hAnsi="Times New Roman" w:cs="Times New Roman"/>
          <w:b/>
          <w:sz w:val="24"/>
          <w:szCs w:val="24"/>
        </w:rPr>
        <w:t>RISK MITIGATING STRATEGIES</w:t>
      </w:r>
      <w:r w:rsidR="00EC6426">
        <w:rPr>
          <w:rFonts w:ascii="Times New Roman" w:hAnsi="Times New Roman" w:cs="Times New Roman"/>
          <w:b/>
          <w:sz w:val="24"/>
          <w:szCs w:val="24"/>
        </w:rPr>
        <w:t xml:space="preserve"> OF TRANSFER PRICING</w:t>
      </w:r>
    </w:p>
    <w:p w:rsidR="00EC6426" w:rsidRPr="00ED00B0" w:rsidRDefault="00EC6426" w:rsidP="00EC6426">
      <w:pPr>
        <w:autoSpaceDE w:val="0"/>
        <w:autoSpaceDN w:val="0"/>
        <w:adjustRightInd w:val="0"/>
        <w:spacing w:after="0" w:line="360" w:lineRule="auto"/>
        <w:jc w:val="both"/>
        <w:rPr>
          <w:rFonts w:ascii="Times New Roman" w:hAnsi="Times New Roman" w:cs="Times New Roman"/>
          <w:sz w:val="24"/>
          <w:szCs w:val="24"/>
        </w:rPr>
      </w:pPr>
      <w:r w:rsidRPr="00ED00B0">
        <w:rPr>
          <w:rFonts w:ascii="Times New Roman" w:hAnsi="Times New Roman" w:cs="Times New Roman"/>
          <w:sz w:val="24"/>
          <w:szCs w:val="24"/>
        </w:rPr>
        <w:t>To mitigate transfer pricing risks, MNCs should adopt proactive strategies, which includes;</w:t>
      </w:r>
    </w:p>
    <w:p w:rsidR="00EC6426" w:rsidRPr="00ED00B0" w:rsidRDefault="00EC6426" w:rsidP="00EC6426">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ED00B0">
        <w:rPr>
          <w:rFonts w:ascii="Times New Roman" w:hAnsi="Times New Roman" w:cs="Times New Roman"/>
          <w:sz w:val="24"/>
          <w:szCs w:val="24"/>
        </w:rPr>
        <w:t>Conducting a Transfer Pricing Risk Assessment: MNCs should asses the transfer pricing risks associated with their operations, identify potential issues and develop risk management strategies accordingly. This involves analyzing the functions, assets and risks involved in intercompany transactions.</w:t>
      </w:r>
    </w:p>
    <w:p w:rsidR="00EC6426" w:rsidRPr="00ED00B0" w:rsidRDefault="00EC6426" w:rsidP="00EC6426">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ED00B0">
        <w:rPr>
          <w:rFonts w:ascii="Times New Roman" w:hAnsi="Times New Roman" w:cs="Times New Roman"/>
          <w:sz w:val="24"/>
          <w:szCs w:val="24"/>
        </w:rPr>
        <w:t xml:space="preserve">Documentation and Compliance: MNCs must maintain comprehensive and contemporaneous transfer pricing documentation, including functional analysis, economic </w:t>
      </w:r>
      <w:r w:rsidRPr="00ED00B0">
        <w:rPr>
          <w:rFonts w:ascii="Times New Roman" w:hAnsi="Times New Roman" w:cs="Times New Roman"/>
          <w:sz w:val="24"/>
          <w:szCs w:val="24"/>
        </w:rPr>
        <w:lastRenderedPageBreak/>
        <w:t>analysis and benchmarking studies. This documentation demonstrates compliance with transfer pricing regulations and serves as evidence to support pricing decisions.</w:t>
      </w:r>
    </w:p>
    <w:p w:rsidR="00EC6426" w:rsidRPr="00ED00B0" w:rsidRDefault="00EC6426" w:rsidP="00EC6426">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ED00B0">
        <w:rPr>
          <w:rFonts w:ascii="Times New Roman" w:hAnsi="Times New Roman" w:cs="Times New Roman"/>
          <w:sz w:val="24"/>
          <w:szCs w:val="24"/>
        </w:rPr>
        <w:t>Advance Pricing Agreements (APAs): APAs provide certainty to taxpayers by allowing them to proactively agree with tax authorities on an appropriate transfer pricing methodology and pricing for a specific period. APAs reduce uncertainty, minimize disputes and provide a mechanism to manage transfer pricing risks efficiently.</w:t>
      </w:r>
    </w:p>
    <w:p w:rsidR="00EC6426" w:rsidRPr="00ED00B0" w:rsidRDefault="00EC6426" w:rsidP="00EC6426">
      <w:pPr>
        <w:pStyle w:val="ListParagraph"/>
        <w:numPr>
          <w:ilvl w:val="0"/>
          <w:numId w:val="4"/>
        </w:numPr>
        <w:tabs>
          <w:tab w:val="left" w:pos="2709"/>
          <w:tab w:val="left" w:pos="3394"/>
        </w:tabs>
        <w:autoSpaceDE w:val="0"/>
        <w:autoSpaceDN w:val="0"/>
        <w:adjustRightInd w:val="0"/>
        <w:spacing w:after="0" w:line="360" w:lineRule="auto"/>
        <w:jc w:val="both"/>
        <w:rPr>
          <w:rFonts w:ascii="Times New Roman" w:hAnsi="Times New Roman" w:cs="Times New Roman"/>
          <w:sz w:val="24"/>
          <w:szCs w:val="24"/>
        </w:rPr>
      </w:pPr>
      <w:r w:rsidRPr="00ED00B0">
        <w:rPr>
          <w:rFonts w:ascii="Times New Roman" w:hAnsi="Times New Roman" w:cs="Times New Roman"/>
          <w:sz w:val="24"/>
          <w:szCs w:val="24"/>
        </w:rPr>
        <w:t>Controversy Resolution and Dispute Avoidance: MNCs should be prepared for transfer pricing audits and potential disputes with tax authorities. Having a clear understanding of dispute resolution mechanisms, such as mutual agreement procedures and competent authority negotiations can help resolve conflicts efficiently and minimize double taxation.</w:t>
      </w:r>
    </w:p>
    <w:p w:rsidR="00EC6426" w:rsidRPr="00ED00B0" w:rsidRDefault="00EC6426" w:rsidP="00EC6426">
      <w:pPr>
        <w:pStyle w:val="ListParagraph"/>
        <w:numPr>
          <w:ilvl w:val="0"/>
          <w:numId w:val="4"/>
        </w:numPr>
        <w:tabs>
          <w:tab w:val="left" w:pos="2709"/>
          <w:tab w:val="left" w:pos="3394"/>
        </w:tabs>
        <w:autoSpaceDE w:val="0"/>
        <w:autoSpaceDN w:val="0"/>
        <w:adjustRightInd w:val="0"/>
        <w:spacing w:after="0" w:line="360" w:lineRule="auto"/>
        <w:jc w:val="both"/>
        <w:rPr>
          <w:rFonts w:ascii="Times New Roman" w:hAnsi="Times New Roman" w:cs="Times New Roman"/>
          <w:sz w:val="24"/>
          <w:szCs w:val="24"/>
        </w:rPr>
      </w:pPr>
      <w:r w:rsidRPr="00ED00B0">
        <w:rPr>
          <w:rFonts w:ascii="Times New Roman" w:hAnsi="Times New Roman" w:cs="Times New Roman"/>
          <w:sz w:val="24"/>
          <w:szCs w:val="24"/>
        </w:rPr>
        <w:t xml:space="preserve">Stay updated with Regulatory Changes: MNCs should stay informed about evolving transfer pricing regulations, including OECD Guidelines and Domestic Laws and engage with transfer pricing professionals and seeking expert advice on </w:t>
      </w:r>
      <w:bookmarkStart w:id="0" w:name="_GoBack"/>
      <w:bookmarkEnd w:id="0"/>
      <w:r w:rsidRPr="00ED00B0">
        <w:rPr>
          <w:rFonts w:ascii="Times New Roman" w:hAnsi="Times New Roman" w:cs="Times New Roman"/>
          <w:sz w:val="24"/>
          <w:szCs w:val="24"/>
        </w:rPr>
        <w:t>compliance with changing regulations and best practices.</w:t>
      </w:r>
    </w:p>
    <w:p w:rsidR="00EC6426" w:rsidRPr="00ED00B0" w:rsidRDefault="00EC6426" w:rsidP="00EC6426">
      <w:pPr>
        <w:pStyle w:val="ListParagraph"/>
        <w:numPr>
          <w:ilvl w:val="0"/>
          <w:numId w:val="4"/>
        </w:numPr>
        <w:tabs>
          <w:tab w:val="left" w:pos="2709"/>
          <w:tab w:val="left" w:pos="3394"/>
        </w:tabs>
        <w:autoSpaceDE w:val="0"/>
        <w:autoSpaceDN w:val="0"/>
        <w:adjustRightInd w:val="0"/>
        <w:spacing w:after="0" w:line="360" w:lineRule="auto"/>
        <w:jc w:val="both"/>
        <w:rPr>
          <w:rFonts w:ascii="Times New Roman" w:hAnsi="Times New Roman" w:cs="Times New Roman"/>
          <w:sz w:val="24"/>
          <w:szCs w:val="24"/>
        </w:rPr>
      </w:pPr>
      <w:r w:rsidRPr="00ED00B0">
        <w:rPr>
          <w:rFonts w:ascii="Times New Roman" w:hAnsi="Times New Roman" w:cs="Times New Roman"/>
          <w:sz w:val="24"/>
          <w:szCs w:val="24"/>
        </w:rPr>
        <w:t>Maintain a Cooperative Approach: an open and transparent communication should be maintained with tax authorities and proactively engaging in discussions while providing timely and accurate information during transfer pricing audits or disputes. Also cooperating with tax authorities can help build trust and facilitate smoother resolution of any transfer pricing related issues.</w:t>
      </w:r>
    </w:p>
    <w:p w:rsidR="00EC6426" w:rsidRPr="00840815" w:rsidRDefault="00EC6426" w:rsidP="00EC6426">
      <w:pPr>
        <w:pStyle w:val="ListParagraph"/>
        <w:numPr>
          <w:ilvl w:val="0"/>
          <w:numId w:val="4"/>
        </w:numPr>
        <w:tabs>
          <w:tab w:val="left" w:pos="2709"/>
          <w:tab w:val="left" w:pos="3394"/>
        </w:tabs>
        <w:autoSpaceDE w:val="0"/>
        <w:autoSpaceDN w:val="0"/>
        <w:adjustRightInd w:val="0"/>
        <w:spacing w:after="0" w:line="360" w:lineRule="auto"/>
        <w:jc w:val="both"/>
        <w:rPr>
          <w:rFonts w:ascii="Times New Roman" w:hAnsi="Times New Roman" w:cs="Times New Roman"/>
          <w:sz w:val="24"/>
          <w:szCs w:val="24"/>
        </w:rPr>
      </w:pPr>
      <w:r w:rsidRPr="00ED00B0">
        <w:rPr>
          <w:rFonts w:ascii="Times New Roman" w:hAnsi="Times New Roman" w:cs="Times New Roman"/>
          <w:sz w:val="24"/>
          <w:szCs w:val="24"/>
        </w:rPr>
        <w:t>Develop Robust Transfer Pricing Policies: MNCs should establish clear and comprehensive transfer pricing policies that align with applicable regulations and guidelines. These policies should address the determination of transfer prices, selection of appropriate transfer pricing methods and documentation requirements.</w:t>
      </w:r>
    </w:p>
    <w:p w:rsidR="00EC6426" w:rsidRPr="008E1092" w:rsidRDefault="008B3C6D" w:rsidP="00EC6426">
      <w:pPr>
        <w:tabs>
          <w:tab w:val="left" w:pos="2709"/>
          <w:tab w:val="left" w:pos="3394"/>
        </w:tabs>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1.6</w:t>
      </w:r>
      <w:r w:rsidR="00AB29CF">
        <w:rPr>
          <w:rFonts w:ascii="Times New Roman" w:hAnsi="Times New Roman" w:cs="Times New Roman"/>
          <w:b/>
          <w:sz w:val="24"/>
          <w:szCs w:val="24"/>
        </w:rPr>
        <w:t xml:space="preserve"> CONCLUSION</w:t>
      </w:r>
    </w:p>
    <w:p w:rsidR="00021144" w:rsidRDefault="00EC6426" w:rsidP="00EC642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In conclusion,</w:t>
      </w:r>
      <w:r w:rsidR="00021144">
        <w:rPr>
          <w:rFonts w:ascii="Times New Roman" w:hAnsi="Times New Roman" w:cs="Times New Roman"/>
          <w:sz w:val="24"/>
          <w:szCs w:val="24"/>
        </w:rPr>
        <w:t xml:space="preserve"> this paper has delved into the intricate realm of transfer pricing regulations and the pivotal role of the arm’s length principle in ensuring equitable taxation within the context of MNEs. Key findings and recommendations have emerged shedding light on the dynamic landscape of transfer pricing and its implications.</w:t>
      </w:r>
    </w:p>
    <w:p w:rsidR="00021144" w:rsidRDefault="00021144" w:rsidP="00EC6426">
      <w:pPr>
        <w:autoSpaceDE w:val="0"/>
        <w:autoSpaceDN w:val="0"/>
        <w:adjustRightInd w:val="0"/>
        <w:spacing w:after="0" w:line="360" w:lineRule="auto"/>
        <w:jc w:val="both"/>
        <w:rPr>
          <w:rFonts w:ascii="Times New Roman" w:hAnsi="Times New Roman" w:cs="Times New Roman"/>
          <w:sz w:val="24"/>
          <w:szCs w:val="24"/>
        </w:rPr>
      </w:pPr>
      <w:r w:rsidRPr="003A718D">
        <w:rPr>
          <w:rFonts w:ascii="Times New Roman" w:hAnsi="Times New Roman" w:cs="Times New Roman"/>
          <w:i/>
          <w:sz w:val="24"/>
          <w:szCs w:val="24"/>
        </w:rPr>
        <w:t>Findings:</w:t>
      </w:r>
      <w:r>
        <w:rPr>
          <w:rFonts w:ascii="Times New Roman" w:hAnsi="Times New Roman" w:cs="Times New Roman"/>
          <w:sz w:val="24"/>
          <w:szCs w:val="24"/>
        </w:rPr>
        <w:t xml:space="preserve"> The arm’s length principle stands as a corner stone in international taxation, seeking to replicate the outcomes of transactions between unrelated parties. It has emerged as a vital safeguard against profit shifting and unjust tax practices.</w:t>
      </w:r>
      <w:r w:rsidR="00FD16E0">
        <w:rPr>
          <w:rFonts w:ascii="Times New Roman" w:hAnsi="Times New Roman" w:cs="Times New Roman"/>
          <w:sz w:val="24"/>
          <w:szCs w:val="24"/>
        </w:rPr>
        <w:t xml:space="preserve"> The need for comprehensive </w:t>
      </w:r>
      <w:r w:rsidR="003A718D">
        <w:rPr>
          <w:rFonts w:ascii="Times New Roman" w:hAnsi="Times New Roman" w:cs="Times New Roman"/>
          <w:sz w:val="24"/>
          <w:szCs w:val="24"/>
        </w:rPr>
        <w:lastRenderedPageBreak/>
        <w:t>documentations</w:t>
      </w:r>
      <w:r w:rsidR="00FD16E0">
        <w:rPr>
          <w:rFonts w:ascii="Times New Roman" w:hAnsi="Times New Roman" w:cs="Times New Roman"/>
          <w:sz w:val="24"/>
          <w:szCs w:val="24"/>
        </w:rPr>
        <w:t xml:space="preserve"> is crucial to substantiate the arm’s length nature of transactions. It not only demonstrates compliance but also serves as a proactive defense during tax audits, reducing the risk of penalties and adjustments.</w:t>
      </w:r>
      <w:r w:rsidR="003A718D">
        <w:rPr>
          <w:rFonts w:ascii="Times New Roman" w:hAnsi="Times New Roman" w:cs="Times New Roman"/>
          <w:sz w:val="24"/>
          <w:szCs w:val="24"/>
        </w:rPr>
        <w:t xml:space="preserve"> Given the intricacies involved, transfer pricing disputes are inevitable, establishing Advance Pricing Agreement (APAs) with tax authorities can provide a predetermined framework, mitigating the potential for conflicts and fostering an environment of certainty.</w:t>
      </w:r>
    </w:p>
    <w:p w:rsidR="00EC6426" w:rsidRDefault="00835D43" w:rsidP="00EC642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i/>
          <w:sz w:val="24"/>
          <w:szCs w:val="24"/>
        </w:rPr>
        <w:t>Recommendation</w:t>
      </w:r>
      <w:r w:rsidR="004305FF" w:rsidRPr="004305FF">
        <w:rPr>
          <w:rFonts w:ascii="Times New Roman" w:hAnsi="Times New Roman" w:cs="Times New Roman"/>
          <w:i/>
          <w:sz w:val="24"/>
          <w:szCs w:val="24"/>
        </w:rPr>
        <w:t>:</w:t>
      </w:r>
      <w:r w:rsidR="004305FF">
        <w:rPr>
          <w:rFonts w:ascii="Times New Roman" w:hAnsi="Times New Roman" w:cs="Times New Roman"/>
          <w:sz w:val="24"/>
          <w:szCs w:val="24"/>
        </w:rPr>
        <w:t xml:space="preserve"> The</w:t>
      </w:r>
      <w:r w:rsidR="00EC6426">
        <w:rPr>
          <w:rFonts w:ascii="Times New Roman" w:hAnsi="Times New Roman" w:cs="Times New Roman"/>
          <w:sz w:val="24"/>
          <w:szCs w:val="24"/>
        </w:rPr>
        <w:t xml:space="preserve"> complexity of transfer pricing rules, coupled with intensified scrutiny from tax authorities, necessitates a proactive and strategic approach to managing transfer pricing risks. MNE’s must first understand and analyze the transfer pricing regulations in the jurisdictions where they operate. This involves staying up-to-date with local regulations, documentation requirements and the arm’s length principle. By proactively monitoring changes in transfer pricing regulations, businesses can identify potential compliance gaps and take corrective actions in a timely manner.   Collaboration and communication between tax teams, finance departments and operational units are essential for successfully navigating transfer pricing regulations, by fostering an environment of transparency and knowledge sharing, businesses can ensure a coordinated and consistent approach to transfer pricing compliance.</w:t>
      </w:r>
    </w:p>
    <w:p w:rsidR="00EC6426" w:rsidRPr="008E1092" w:rsidRDefault="00EC6426" w:rsidP="00EC642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Regular training and awareness programs can also equip employees with the necessary understanding of transfer pricing regulations and their implications. Ultimately, a strategic and compliant approach to transfer pricing can contribute to the long-term success and sustainability of MNE’s.</w:t>
      </w:r>
    </w:p>
    <w:p w:rsidR="00EC6426" w:rsidRPr="008E1092" w:rsidRDefault="00EC6426" w:rsidP="00EC6426">
      <w:pPr>
        <w:autoSpaceDE w:val="0"/>
        <w:autoSpaceDN w:val="0"/>
        <w:adjustRightInd w:val="0"/>
        <w:spacing w:after="0" w:line="360" w:lineRule="auto"/>
        <w:jc w:val="both"/>
        <w:rPr>
          <w:rFonts w:ascii="Times New Roman" w:hAnsi="Times New Roman" w:cs="Times New Roman"/>
          <w:sz w:val="24"/>
          <w:szCs w:val="24"/>
        </w:rPr>
      </w:pPr>
    </w:p>
    <w:p w:rsidR="00EC6426" w:rsidRDefault="00EC6426" w:rsidP="00EC6426">
      <w:pPr>
        <w:autoSpaceDE w:val="0"/>
        <w:autoSpaceDN w:val="0"/>
        <w:adjustRightInd w:val="0"/>
        <w:spacing w:after="0" w:line="480" w:lineRule="auto"/>
        <w:jc w:val="both"/>
        <w:rPr>
          <w:rFonts w:ascii="TimesNewRoman" w:hAnsi="TimesNewRoman" w:cs="TimesNewRoman"/>
        </w:rPr>
      </w:pPr>
    </w:p>
    <w:p w:rsidR="00EC6426" w:rsidRPr="008E1092" w:rsidRDefault="00EC6426" w:rsidP="00EC6426">
      <w:pPr>
        <w:tabs>
          <w:tab w:val="left" w:pos="2211"/>
        </w:tabs>
        <w:autoSpaceDE w:val="0"/>
        <w:autoSpaceDN w:val="0"/>
        <w:adjustRightInd w:val="0"/>
        <w:spacing w:after="0" w:line="480" w:lineRule="auto"/>
        <w:jc w:val="both"/>
        <w:rPr>
          <w:rStyle w:val="HTMLCite"/>
          <w:rFonts w:ascii="Times New Roman" w:hAnsi="Times New Roman" w:cs="Times New Roman"/>
          <w:b/>
          <w:bCs/>
          <w:color w:val="000000"/>
          <w:sz w:val="24"/>
          <w:szCs w:val="24"/>
        </w:rPr>
      </w:pPr>
    </w:p>
    <w:p w:rsidR="00EC6426" w:rsidRPr="00E52941" w:rsidRDefault="00EC6426" w:rsidP="00EC6426">
      <w:pPr>
        <w:tabs>
          <w:tab w:val="left" w:pos="2211"/>
        </w:tabs>
        <w:autoSpaceDE w:val="0"/>
        <w:autoSpaceDN w:val="0"/>
        <w:adjustRightInd w:val="0"/>
        <w:spacing w:after="0" w:line="480" w:lineRule="auto"/>
        <w:jc w:val="both"/>
        <w:rPr>
          <w:rStyle w:val="HTMLCite"/>
          <w:rFonts w:ascii="Times New Roman" w:hAnsi="Times New Roman" w:cs="Times New Roman"/>
          <w:sz w:val="24"/>
          <w:szCs w:val="24"/>
        </w:rPr>
      </w:pPr>
    </w:p>
    <w:p w:rsidR="00EC6426" w:rsidRPr="00E52941" w:rsidRDefault="00EC6426" w:rsidP="00EC6426">
      <w:pPr>
        <w:tabs>
          <w:tab w:val="left" w:pos="2211"/>
        </w:tabs>
        <w:autoSpaceDE w:val="0"/>
        <w:autoSpaceDN w:val="0"/>
        <w:adjustRightInd w:val="0"/>
        <w:spacing w:after="0" w:line="480" w:lineRule="auto"/>
        <w:jc w:val="both"/>
        <w:rPr>
          <w:rStyle w:val="HTMLCite"/>
          <w:rFonts w:ascii="Times New Roman" w:hAnsi="Times New Roman" w:cs="Times New Roman"/>
          <w:sz w:val="24"/>
          <w:szCs w:val="24"/>
        </w:rPr>
      </w:pPr>
      <w:r>
        <w:t>.</w:t>
      </w:r>
    </w:p>
    <w:p w:rsidR="00EC6426" w:rsidRDefault="00EC6426" w:rsidP="00EC6426">
      <w:pPr>
        <w:spacing w:line="480" w:lineRule="auto"/>
        <w:jc w:val="both"/>
        <w:rPr>
          <w:rFonts w:ascii="Times New Roman" w:hAnsi="Times New Roman" w:cs="Times New Roman"/>
          <w:sz w:val="24"/>
          <w:szCs w:val="24"/>
        </w:rPr>
      </w:pPr>
    </w:p>
    <w:p w:rsidR="00EC6426" w:rsidRDefault="00EC6426" w:rsidP="00EC6426">
      <w:pPr>
        <w:spacing w:line="480" w:lineRule="auto"/>
        <w:jc w:val="both"/>
        <w:rPr>
          <w:rFonts w:ascii="Times New Roman" w:hAnsi="Times New Roman" w:cs="Times New Roman"/>
          <w:sz w:val="24"/>
          <w:szCs w:val="24"/>
        </w:rPr>
      </w:pPr>
    </w:p>
    <w:p w:rsidR="00EC6426" w:rsidRDefault="00EC6426" w:rsidP="00EC6426"/>
    <w:p w:rsidR="00E237AB" w:rsidRDefault="00E237AB"/>
    <w:sectPr w:rsidR="00E237A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F9F" w:rsidRDefault="00013F9F" w:rsidP="00EC6426">
      <w:pPr>
        <w:spacing w:after="0" w:line="240" w:lineRule="auto"/>
      </w:pPr>
      <w:r>
        <w:separator/>
      </w:r>
    </w:p>
  </w:endnote>
  <w:endnote w:type="continuationSeparator" w:id="0">
    <w:p w:rsidR="00013F9F" w:rsidRDefault="00013F9F" w:rsidP="00EC6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7422416"/>
      <w:docPartObj>
        <w:docPartGallery w:val="Page Numbers (Bottom of Page)"/>
        <w:docPartUnique/>
      </w:docPartObj>
    </w:sdtPr>
    <w:sdtEndPr>
      <w:rPr>
        <w:noProof/>
      </w:rPr>
    </w:sdtEndPr>
    <w:sdtContent>
      <w:p w:rsidR="00DD3A1C" w:rsidRDefault="00A530FA">
        <w:pPr>
          <w:pStyle w:val="Footer"/>
          <w:jc w:val="center"/>
        </w:pPr>
        <w:r>
          <w:fldChar w:fldCharType="begin"/>
        </w:r>
        <w:r>
          <w:instrText xml:space="preserve"> PAGE   \* MERGEFORMAT </w:instrText>
        </w:r>
        <w:r>
          <w:fldChar w:fldCharType="separate"/>
        </w:r>
        <w:r w:rsidR="00A70F90">
          <w:rPr>
            <w:noProof/>
          </w:rPr>
          <w:t>13</w:t>
        </w:r>
        <w:r>
          <w:rPr>
            <w:noProof/>
          </w:rPr>
          <w:fldChar w:fldCharType="end"/>
        </w:r>
      </w:p>
    </w:sdtContent>
  </w:sdt>
  <w:p w:rsidR="00DD3A1C" w:rsidRDefault="00013F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F9F" w:rsidRDefault="00013F9F" w:rsidP="00EC6426">
      <w:pPr>
        <w:spacing w:after="0" w:line="240" w:lineRule="auto"/>
      </w:pPr>
      <w:r>
        <w:separator/>
      </w:r>
    </w:p>
  </w:footnote>
  <w:footnote w:type="continuationSeparator" w:id="0">
    <w:p w:rsidR="00013F9F" w:rsidRDefault="00013F9F" w:rsidP="00EC6426">
      <w:pPr>
        <w:spacing w:after="0" w:line="240" w:lineRule="auto"/>
      </w:pPr>
      <w:r>
        <w:continuationSeparator/>
      </w:r>
    </w:p>
  </w:footnote>
  <w:footnote w:id="1">
    <w:p w:rsidR="00EC6426" w:rsidRDefault="009B5773" w:rsidP="00EC6426">
      <w:pPr>
        <w:pStyle w:val="FootnoteText"/>
      </w:pPr>
      <w:r>
        <w:t xml:space="preserve">*Kuzhe </w:t>
      </w:r>
      <w:proofErr w:type="spellStart"/>
      <w:r>
        <w:t>Ashezi</w:t>
      </w:r>
      <w:proofErr w:type="spellEnd"/>
      <w:r>
        <w:t xml:space="preserve"> </w:t>
      </w:r>
      <w:proofErr w:type="spellStart"/>
      <w:r>
        <w:t>Dorcas</w:t>
      </w:r>
      <w:proofErr w:type="spellEnd"/>
      <w:r>
        <w:t xml:space="preserve"> </w:t>
      </w:r>
      <w:r w:rsidR="00EC6426">
        <w:t xml:space="preserve"> is a lecturer in the Faculty of Law, Bingham University, </w:t>
      </w:r>
      <w:proofErr w:type="spellStart"/>
      <w:r w:rsidR="00EC6426">
        <w:t>Karu</w:t>
      </w:r>
      <w:proofErr w:type="spellEnd"/>
      <w:r w:rsidR="00EC6426">
        <w:t xml:space="preserve"> (along </w:t>
      </w:r>
      <w:proofErr w:type="spellStart"/>
      <w:r w:rsidR="00EC6426">
        <w:t>Keffi</w:t>
      </w:r>
      <w:proofErr w:type="spellEnd"/>
      <w:r w:rsidR="00EC6426">
        <w:t xml:space="preserve">-Abuja Express Way), </w:t>
      </w:r>
      <w:proofErr w:type="spellStart"/>
      <w:r w:rsidR="00EC6426">
        <w:t>Nasarawa</w:t>
      </w:r>
      <w:proofErr w:type="spellEnd"/>
      <w:r w:rsidR="00EC6426">
        <w:t xml:space="preserve"> State, Nigeria  Tel. +2347038933824, email -  kuzhedorcas@yahoo.com</w:t>
      </w:r>
    </w:p>
    <w:p w:rsidR="00EC6426" w:rsidRDefault="00EC6426" w:rsidP="00EC6426">
      <w:pPr>
        <w:pStyle w:val="FootnoteText"/>
      </w:pPr>
      <w:r>
        <w:rPr>
          <w:rStyle w:val="FootnoteReference"/>
        </w:rPr>
        <w:footnoteRef/>
      </w:r>
      <w:r>
        <w:t xml:space="preserve"> </w:t>
      </w:r>
      <w:proofErr w:type="spellStart"/>
      <w:r>
        <w:t>Shobhit</w:t>
      </w:r>
      <w:proofErr w:type="spellEnd"/>
      <w:r>
        <w:t xml:space="preserve"> </w:t>
      </w:r>
      <w:proofErr w:type="spellStart"/>
      <w:r>
        <w:t>Seth.,’Transfer</w:t>
      </w:r>
      <w:proofErr w:type="spellEnd"/>
      <w:r>
        <w:t xml:space="preserve"> Pricing: What it is a</w:t>
      </w:r>
      <w:r w:rsidR="00F322CE">
        <w:t xml:space="preserve">nd </w:t>
      </w:r>
      <w:proofErr w:type="gramStart"/>
      <w:r w:rsidR="00F322CE">
        <w:t>How</w:t>
      </w:r>
      <w:proofErr w:type="gramEnd"/>
      <w:r w:rsidR="00F322CE">
        <w:t xml:space="preserve"> it Works with Examples’. </w:t>
      </w:r>
      <w:hyperlink r:id="rId1" w:history="1">
        <w:r w:rsidR="00F322CE" w:rsidRPr="002352CA">
          <w:rPr>
            <w:rStyle w:val="Hyperlink"/>
          </w:rPr>
          <w:t>https://www.investopedia.comterms</w:t>
        </w:r>
      </w:hyperlink>
      <w:r w:rsidR="00F322CE">
        <w:t>&gt; accessed 5 May 2023</w:t>
      </w:r>
      <w:r>
        <w:t xml:space="preserve">  </w:t>
      </w:r>
    </w:p>
  </w:footnote>
  <w:footnote w:id="2">
    <w:p w:rsidR="00EC6426" w:rsidRDefault="00EC6426" w:rsidP="00EC6426">
      <w:pPr>
        <w:pStyle w:val="FootnoteText"/>
      </w:pPr>
      <w:r>
        <w:rPr>
          <w:rStyle w:val="FootnoteReference"/>
        </w:rPr>
        <w:footnoteRef/>
      </w:r>
      <w:r w:rsidR="009B5773">
        <w:t xml:space="preserve"> O Augustine and O E Alani</w:t>
      </w:r>
      <w:r>
        <w:t xml:space="preserve">, ‘The Impact of Taxation on Transfer Pricing in Nigeria Economy’ </w:t>
      </w:r>
      <w:r w:rsidRPr="009B5773">
        <w:rPr>
          <w:i/>
        </w:rPr>
        <w:t>International</w:t>
      </w:r>
      <w:r>
        <w:t xml:space="preserve"> </w:t>
      </w:r>
      <w:r w:rsidRPr="009B5773">
        <w:rPr>
          <w:i/>
        </w:rPr>
        <w:t>Research Journal of Finance and Economics</w:t>
      </w:r>
      <w:r>
        <w:t xml:space="preserve"> (2020) </w:t>
      </w:r>
      <w:proofErr w:type="spellStart"/>
      <w:r>
        <w:t>Iss</w:t>
      </w:r>
      <w:proofErr w:type="spellEnd"/>
      <w:r>
        <w:t xml:space="preserve">. 177.  </w:t>
      </w:r>
      <w:r w:rsidR="009B5773">
        <w:t>&lt;</w:t>
      </w:r>
      <w:hyperlink r:id="rId2" w:history="1">
        <w:r w:rsidRPr="0088405E">
          <w:rPr>
            <w:rStyle w:val="Hyperlink"/>
          </w:rPr>
          <w:t>https://www.internationalresearchjournaloffinanceandeconomics.com</w:t>
        </w:r>
      </w:hyperlink>
      <w:r>
        <w:t xml:space="preserve">. </w:t>
      </w:r>
      <w:r w:rsidR="00F322CE">
        <w:t>&gt; accessed 3 May 2023</w:t>
      </w:r>
      <w:r>
        <w:t xml:space="preserve"> </w:t>
      </w:r>
    </w:p>
  </w:footnote>
  <w:footnote w:id="3">
    <w:p w:rsidR="009D68E5" w:rsidRDefault="009D68E5">
      <w:pPr>
        <w:pStyle w:val="FootnoteText"/>
      </w:pPr>
      <w:r>
        <w:rPr>
          <w:rStyle w:val="FootnoteReference"/>
        </w:rPr>
        <w:footnoteRef/>
      </w:r>
      <w:r>
        <w:t xml:space="preserve"> Corporate Finance Institute, ‘Learn How Companies Use Transfer Pricing’ &lt;</w:t>
      </w:r>
      <w:hyperlink r:id="rId3" w:history="1">
        <w:r w:rsidRPr="002352CA">
          <w:rPr>
            <w:rStyle w:val="Hyperlink"/>
          </w:rPr>
          <w:t>https://corporatefinanceinstitute.com</w:t>
        </w:r>
      </w:hyperlink>
      <w:r>
        <w:t>&gt; accessed 5 May 2023</w:t>
      </w:r>
    </w:p>
  </w:footnote>
  <w:footnote w:id="4">
    <w:p w:rsidR="00AC6427" w:rsidRDefault="00AC6427">
      <w:pPr>
        <w:pStyle w:val="FootnoteText"/>
      </w:pPr>
      <w:r>
        <w:rPr>
          <w:rStyle w:val="FootnoteReference"/>
        </w:rPr>
        <w:footnoteRef/>
      </w:r>
      <w:r>
        <w:t xml:space="preserve"> United Nations</w:t>
      </w:r>
      <w:r w:rsidR="00055C33">
        <w:t>, ‘An Introduction to Transfer Pricing’ &lt;</w:t>
      </w:r>
      <w:hyperlink r:id="rId4" w:history="1">
        <w:r w:rsidR="00055C33" w:rsidRPr="002352CA">
          <w:rPr>
            <w:rStyle w:val="Hyperlink"/>
          </w:rPr>
          <w:t>https://www.un.org2011/06</w:t>
        </w:r>
      </w:hyperlink>
      <w:r w:rsidR="00055C33">
        <w:t xml:space="preserve"> &gt; accessed 20 May 2023</w:t>
      </w:r>
    </w:p>
  </w:footnote>
  <w:footnote w:id="5">
    <w:p w:rsidR="00EC6426" w:rsidRDefault="00EC6426" w:rsidP="00EC6426">
      <w:pPr>
        <w:pStyle w:val="FootnoteText"/>
      </w:pPr>
      <w:r>
        <w:rPr>
          <w:rStyle w:val="FootnoteReference"/>
        </w:rPr>
        <w:footnoteRef/>
      </w:r>
      <w:r>
        <w:t xml:space="preserve"> </w:t>
      </w:r>
      <w:hyperlink w:history="1">
        <w:r>
          <w:rPr>
            <w:rStyle w:val="Hyperlink"/>
          </w:rPr>
          <w:t>www.businessdictionary.com&gt;definition</w:t>
        </w:r>
      </w:hyperlink>
    </w:p>
  </w:footnote>
  <w:footnote w:id="6">
    <w:p w:rsidR="00EC6426" w:rsidRDefault="00EC6426" w:rsidP="00EC6426">
      <w:pPr>
        <w:pStyle w:val="FootnoteText"/>
      </w:pPr>
      <w:r>
        <w:rPr>
          <w:rStyle w:val="FootnoteReference"/>
        </w:rPr>
        <w:footnoteRef/>
      </w:r>
      <w:r>
        <w:t xml:space="preserve"> Global Financial </w:t>
      </w:r>
      <w:proofErr w:type="spellStart"/>
      <w:r>
        <w:t>Intergrity</w:t>
      </w:r>
      <w:proofErr w:type="spellEnd"/>
      <w:r>
        <w:t xml:space="preserve"> in Washington estimates the amount at several hundred billion dollars annually, also a March 2009 Christian Aid report estimated $1.1 trillion in bilateral trade mispricing into the EU and the US alone from non- EU countries from 2005- 2007.  </w:t>
      </w:r>
      <w:r w:rsidR="00FF014B">
        <w:t>&lt;</w:t>
      </w:r>
      <w:hyperlink w:history="1">
        <w:r>
          <w:rPr>
            <w:rStyle w:val="Hyperlink"/>
          </w:rPr>
          <w:t>www.taxjustice.net&gt;topics&gt;corporate-tax</w:t>
        </w:r>
      </w:hyperlink>
      <w:r>
        <w:t>.</w:t>
      </w:r>
      <w:r w:rsidR="00FF014B">
        <w:t>&gt; accessed 15 May 2023</w:t>
      </w:r>
    </w:p>
  </w:footnote>
  <w:footnote w:id="7">
    <w:p w:rsidR="00651EC6" w:rsidRDefault="00651EC6" w:rsidP="00651EC6">
      <w:pPr>
        <w:pStyle w:val="FootnoteText"/>
      </w:pPr>
      <w:r>
        <w:rPr>
          <w:rStyle w:val="FootnoteReference"/>
        </w:rPr>
        <w:footnoteRef/>
      </w:r>
      <w:r w:rsidR="00FF014B">
        <w:t xml:space="preserve"> </w:t>
      </w:r>
      <w:proofErr w:type="spellStart"/>
      <w:proofErr w:type="gramStart"/>
      <w:r w:rsidR="00FF014B">
        <w:t>Aderonke</w:t>
      </w:r>
      <w:proofErr w:type="spellEnd"/>
      <w:r w:rsidR="00FF014B">
        <w:t xml:space="preserve">  Alex</w:t>
      </w:r>
      <w:proofErr w:type="gramEnd"/>
      <w:r w:rsidR="00FF014B">
        <w:t>-</w:t>
      </w:r>
      <w:proofErr w:type="spellStart"/>
      <w:r w:rsidR="00FF014B">
        <w:t>Adedipe</w:t>
      </w:r>
      <w:proofErr w:type="spellEnd"/>
      <w:r w:rsidR="00FF014B">
        <w:t xml:space="preserve"> and</w:t>
      </w:r>
      <w:r>
        <w:t xml:space="preserve"> </w:t>
      </w:r>
      <w:r w:rsidR="00FF014B">
        <w:t xml:space="preserve"> A Praise</w:t>
      </w:r>
      <w:r>
        <w:t xml:space="preserve">, ‘The Arm’s Length Principle and its Implication on Taxation in Nigeria’. </w:t>
      </w:r>
      <w:r w:rsidR="00FF014B">
        <w:t>&lt;</w:t>
      </w:r>
      <w:hyperlink w:history="1">
        <w:r w:rsidRPr="0088405E">
          <w:rPr>
            <w:rStyle w:val="Hyperlink"/>
          </w:rPr>
          <w:t>https://www.mondaq.com&gt;nigeria</w:t>
        </w:r>
      </w:hyperlink>
      <w:r>
        <w:t>.</w:t>
      </w:r>
      <w:r w:rsidR="00FF014B">
        <w:t>&gt; accessed 15 May 2023</w:t>
      </w:r>
      <w:r>
        <w:t xml:space="preserve"> </w:t>
      </w:r>
    </w:p>
  </w:footnote>
  <w:footnote w:id="8">
    <w:p w:rsidR="00612FEE" w:rsidRDefault="00612FEE">
      <w:pPr>
        <w:pStyle w:val="FootnoteText"/>
      </w:pPr>
      <w:r>
        <w:rPr>
          <w:rStyle w:val="FootnoteReference"/>
        </w:rPr>
        <w:footnoteRef/>
      </w:r>
      <w:r w:rsidR="009D3D34">
        <w:t xml:space="preserve"> Royalty Range, </w:t>
      </w:r>
      <w:r>
        <w:t xml:space="preserve"> </w:t>
      </w:r>
      <w:r w:rsidR="009D3D34">
        <w:t>‘</w:t>
      </w:r>
      <w:r>
        <w:t>What is an arm’s length transaction in transfer pricing?</w:t>
      </w:r>
      <w:r w:rsidR="009D3D34">
        <w:t>&lt;</w:t>
      </w:r>
      <w:r>
        <w:t xml:space="preserve"> </w:t>
      </w:r>
      <w:hyperlink w:history="1">
        <w:r w:rsidRPr="006752C3">
          <w:rPr>
            <w:rStyle w:val="Hyperlink"/>
          </w:rPr>
          <w:t>https://www.royaltyrange.com&gt;blog</w:t>
        </w:r>
      </w:hyperlink>
      <w:r>
        <w:t xml:space="preserve"> </w:t>
      </w:r>
      <w:r w:rsidR="009D3D34">
        <w:t>&gt; accessed 15 May 2023</w:t>
      </w:r>
    </w:p>
  </w:footnote>
  <w:footnote w:id="9">
    <w:p w:rsidR="008B3C6D" w:rsidRDefault="008B3C6D">
      <w:pPr>
        <w:pStyle w:val="FootnoteText"/>
      </w:pPr>
      <w:r>
        <w:rPr>
          <w:rStyle w:val="FootnoteReference"/>
        </w:rPr>
        <w:footnoteRef/>
      </w:r>
      <w:r>
        <w:t xml:space="preserve"> </w:t>
      </w:r>
      <w:r w:rsidR="009D3D34">
        <w:t xml:space="preserve"> OECD, ‘</w:t>
      </w:r>
      <w:r>
        <w:t xml:space="preserve">The Arm’s Length </w:t>
      </w:r>
      <w:proofErr w:type="spellStart"/>
      <w:r>
        <w:t>Principle|OECD</w:t>
      </w:r>
      <w:proofErr w:type="spellEnd"/>
      <w:r>
        <w:t xml:space="preserve"> Transfer Pricing Guidelines</w:t>
      </w:r>
      <w:r w:rsidR="009D3D34">
        <w:t>’</w:t>
      </w:r>
      <w:r>
        <w:t>…</w:t>
      </w:r>
      <w:r w:rsidR="009D3D34">
        <w:t>&lt;</w:t>
      </w:r>
      <w:r>
        <w:t xml:space="preserve"> </w:t>
      </w:r>
      <w:hyperlink w:history="1">
        <w:r w:rsidRPr="006752C3">
          <w:rPr>
            <w:rStyle w:val="Hyperlink"/>
          </w:rPr>
          <w:t>https://www.oecd-ilibrary.org&gt;taxa</w:t>
        </w:r>
      </w:hyperlink>
      <w:r>
        <w:t>...</w:t>
      </w:r>
      <w:r w:rsidR="009D3D34">
        <w:t>&gt; accessed 14 May 2023</w:t>
      </w:r>
      <w:r>
        <w:t xml:space="preserve"> </w:t>
      </w:r>
    </w:p>
  </w:footnote>
  <w:footnote w:id="10">
    <w:p w:rsidR="00EC6426" w:rsidRPr="00337848" w:rsidRDefault="00EC6426" w:rsidP="00EC6426">
      <w:pPr>
        <w:pStyle w:val="FootnoteText"/>
      </w:pPr>
      <w:r>
        <w:rPr>
          <w:rStyle w:val="FootnoteReference"/>
        </w:rPr>
        <w:footnoteRef/>
      </w:r>
      <w:r w:rsidR="00CA282D">
        <w:t xml:space="preserve"> M John and O John, </w:t>
      </w:r>
      <w:r>
        <w:t xml:space="preserve"> ‘Transfer Pricing and its Effect on Financial Reporting’ </w:t>
      </w:r>
      <w:r w:rsidRPr="004F1732">
        <w:rPr>
          <w:i/>
        </w:rPr>
        <w:t>Journal of Accountancy</w:t>
      </w:r>
      <w:r>
        <w:rPr>
          <w:i/>
        </w:rPr>
        <w:t xml:space="preserve"> (2013)</w:t>
      </w:r>
      <w:r w:rsidR="003E592D">
        <w:rPr>
          <w:i/>
        </w:rPr>
        <w:t xml:space="preserve"> &lt;</w:t>
      </w:r>
      <w:hyperlink r:id="rId5" w:history="1">
        <w:r w:rsidR="003E592D" w:rsidRPr="002352CA">
          <w:rPr>
            <w:rStyle w:val="Hyperlink"/>
          </w:rPr>
          <w:t>https://www.journalofaccountancy.com</w:t>
        </w:r>
      </w:hyperlink>
      <w:r w:rsidR="003E592D">
        <w:t>...&gt;accessed 17 May 2023</w:t>
      </w:r>
    </w:p>
  </w:footnote>
  <w:footnote w:id="11">
    <w:p w:rsidR="00EC6426" w:rsidRDefault="00EC6426" w:rsidP="00EC6426">
      <w:pPr>
        <w:pStyle w:val="FootnoteText"/>
      </w:pPr>
      <w:r>
        <w:rPr>
          <w:rStyle w:val="FootnoteReference"/>
        </w:rPr>
        <w:footnoteRef/>
      </w:r>
      <w:r>
        <w:t xml:space="preserve"> </w:t>
      </w:r>
      <w:r w:rsidR="00FF5BBA">
        <w:t xml:space="preserve"> G B Adeyeye, A L K Bale et al </w:t>
      </w:r>
      <w:r>
        <w:t xml:space="preserve"> ‘Transfer Pricing Regulations and Tax Compliance Among Nigerian Companies’ </w:t>
      </w:r>
      <w:r w:rsidRPr="00262509">
        <w:rPr>
          <w:i/>
        </w:rPr>
        <w:t>Global Journal of Accounting</w:t>
      </w:r>
      <w:r>
        <w:t xml:space="preserve">, (2022) 8(1), 46-61. </w:t>
      </w:r>
      <w:r w:rsidR="00FF5BBA">
        <w:t>&lt;</w:t>
      </w:r>
      <w:hyperlink r:id="rId6" w:history="1">
        <w:r w:rsidRPr="0088405E">
          <w:rPr>
            <w:rStyle w:val="Hyperlink"/>
          </w:rPr>
          <w:t>http://gja.unilag.edu.ng/article/view/1571</w:t>
        </w:r>
      </w:hyperlink>
      <w:r>
        <w:t xml:space="preserve">. </w:t>
      </w:r>
      <w:r w:rsidR="00FF5BBA">
        <w:t>&gt; accessed 20 May 2023</w:t>
      </w:r>
    </w:p>
  </w:footnote>
  <w:footnote w:id="12">
    <w:p w:rsidR="00EC6426" w:rsidRDefault="00EC6426" w:rsidP="00EC6426">
      <w:pPr>
        <w:pStyle w:val="FootnoteText"/>
      </w:pPr>
      <w:r>
        <w:rPr>
          <w:rStyle w:val="FootnoteReference"/>
        </w:rPr>
        <w:footnoteRef/>
      </w:r>
      <w:r>
        <w:t xml:space="preserve"> Published in 1995, represents a consensus among OECD Member countries, mostly developed countries.</w:t>
      </w:r>
    </w:p>
  </w:footnote>
  <w:footnote w:id="13">
    <w:p w:rsidR="00EC6426" w:rsidRDefault="00EC6426" w:rsidP="00EC6426">
      <w:pPr>
        <w:pStyle w:val="FootnoteText"/>
      </w:pPr>
      <w:r>
        <w:rPr>
          <w:rStyle w:val="FootnoteReference"/>
        </w:rPr>
        <w:footnoteRef/>
      </w:r>
      <w:r>
        <w:t xml:space="preserve"> The first 3 are referred to as the Traditional Transaction Methods while the last two are the Transactional Profit Methods.</w:t>
      </w:r>
    </w:p>
  </w:footnote>
  <w:footnote w:id="14">
    <w:p w:rsidR="00EC6426" w:rsidRPr="00410BD0" w:rsidRDefault="00EC6426" w:rsidP="00EC6426">
      <w:pPr>
        <w:pStyle w:val="FootnoteText"/>
      </w:pPr>
      <w:r>
        <w:rPr>
          <w:rStyle w:val="FootnoteReference"/>
        </w:rPr>
        <w:footnoteRef/>
      </w:r>
      <w:r>
        <w:t xml:space="preserve"> This latest edition consolidates into a single publication the changes to the 2017 edition of the Transfer Pricing </w:t>
      </w:r>
      <w:proofErr w:type="gramStart"/>
      <w:r>
        <w:t>Guidelines .</w:t>
      </w:r>
      <w:proofErr w:type="gramEnd"/>
      <w:r>
        <w:t xml:space="preserve"> OECD Releases Latest Edition of the Transfer Pricing Guidelines for Multinational Enterprises and Tax Admini</w:t>
      </w:r>
      <w:r w:rsidR="00BF2A41">
        <w:t>strations.</w:t>
      </w:r>
      <w:r>
        <w:t xml:space="preserve">  </w:t>
      </w:r>
    </w:p>
  </w:footnote>
  <w:footnote w:id="15">
    <w:p w:rsidR="00EC6426" w:rsidRPr="009C0B82" w:rsidRDefault="00EC6426" w:rsidP="00EC6426">
      <w:pPr>
        <w:pStyle w:val="FootnoteText"/>
      </w:pPr>
      <w:r>
        <w:rPr>
          <w:rStyle w:val="FootnoteReference"/>
        </w:rPr>
        <w:footnoteRef/>
      </w:r>
      <w:r>
        <w:t xml:space="preserve"> </w:t>
      </w:r>
      <w:r w:rsidR="00BF2A41">
        <w:t xml:space="preserve">T S </w:t>
      </w:r>
      <w:proofErr w:type="spellStart"/>
      <w:r w:rsidR="00BF2A41">
        <w:t>Doupnik</w:t>
      </w:r>
      <w:proofErr w:type="spellEnd"/>
      <w:r w:rsidR="00BF2A41">
        <w:t xml:space="preserve">, and H </w:t>
      </w:r>
      <w:proofErr w:type="spellStart"/>
      <w:r w:rsidR="00BF2A41">
        <w:t>Perera</w:t>
      </w:r>
      <w:proofErr w:type="spellEnd"/>
      <w:r>
        <w:t xml:space="preserve"> </w:t>
      </w:r>
      <w:r>
        <w:rPr>
          <w:i/>
        </w:rPr>
        <w:t xml:space="preserve">International </w:t>
      </w:r>
      <w:proofErr w:type="gramStart"/>
      <w:r>
        <w:rPr>
          <w:i/>
        </w:rPr>
        <w:t>Accounting</w:t>
      </w:r>
      <w:r w:rsidR="00BF2A41">
        <w:t xml:space="preserve">  </w:t>
      </w:r>
      <w:proofErr w:type="spellStart"/>
      <w:r w:rsidR="00BF2A41">
        <w:t>Mc</w:t>
      </w:r>
      <w:proofErr w:type="spellEnd"/>
      <w:proofErr w:type="gramEnd"/>
      <w:r w:rsidR="00BF2A41">
        <w:t xml:space="preserve"> </w:t>
      </w:r>
      <w:proofErr w:type="spellStart"/>
      <w:r w:rsidR="00BF2A41">
        <w:t>Graw</w:t>
      </w:r>
      <w:proofErr w:type="spellEnd"/>
      <w:r w:rsidR="00BF2A41">
        <w:t xml:space="preserve"> Hill Education(</w:t>
      </w:r>
      <w:r>
        <w:t>2</w:t>
      </w:r>
      <w:r w:rsidR="00620C32">
        <w:t xml:space="preserve">001) </w:t>
      </w:r>
      <w:r w:rsidR="00ED1852">
        <w:t>&lt;</w:t>
      </w:r>
      <w:hyperlink r:id="rId7" w:history="1">
        <w:r w:rsidR="00ED1852" w:rsidRPr="002352CA">
          <w:rPr>
            <w:rStyle w:val="Hyperlink"/>
          </w:rPr>
          <w:t>https://www.mheducation.com</w:t>
        </w:r>
      </w:hyperlink>
      <w:r w:rsidR="00ED1852">
        <w:t>int.. &gt; accessed 5 June 2023</w:t>
      </w:r>
    </w:p>
  </w:footnote>
  <w:footnote w:id="16">
    <w:p w:rsidR="00EC6426" w:rsidRDefault="00EC6426" w:rsidP="00EC6426">
      <w:pPr>
        <w:pStyle w:val="FootnoteText"/>
      </w:pPr>
      <w:r>
        <w:rPr>
          <w:rStyle w:val="FootnoteReference"/>
        </w:rPr>
        <w:footnoteRef/>
      </w:r>
      <w:r w:rsidR="0088494D">
        <w:t xml:space="preserve"> C  </w:t>
      </w:r>
      <w:proofErr w:type="spellStart"/>
      <w:r w:rsidR="0088494D">
        <w:t>Satapathy</w:t>
      </w:r>
      <w:proofErr w:type="spellEnd"/>
      <w:r w:rsidR="0088494D">
        <w:t>,</w:t>
      </w:r>
      <w:r>
        <w:t xml:space="preserve"> </w:t>
      </w:r>
      <w:r w:rsidRPr="0026428A">
        <w:rPr>
          <w:i/>
        </w:rPr>
        <w:t>‘</w:t>
      </w:r>
      <w:r w:rsidRPr="00BB5E69">
        <w:t>Transfer Pricing: Impact on Trade and Profit Taxation’</w:t>
      </w:r>
      <w:r>
        <w:t xml:space="preserve"> </w:t>
      </w:r>
      <w:r w:rsidRPr="0088494D">
        <w:rPr>
          <w:i/>
        </w:rPr>
        <w:t>JSTOR</w:t>
      </w:r>
      <w:r>
        <w:t xml:space="preserve"> (2001) 36 (20). </w:t>
      </w:r>
      <w:r w:rsidR="0088494D">
        <w:t>&lt;</w:t>
      </w:r>
      <w:hyperlink w:history="1">
        <w:r w:rsidRPr="0088405E">
          <w:rPr>
            <w:rStyle w:val="Hyperlink"/>
          </w:rPr>
          <w:t>https://www.jstor.org&gt;stable</w:t>
        </w:r>
      </w:hyperlink>
      <w:r>
        <w:t xml:space="preserve"> </w:t>
      </w:r>
      <w:r w:rsidR="0088494D">
        <w:t>&gt; accessed 4 June 2023</w:t>
      </w:r>
    </w:p>
  </w:footnote>
  <w:footnote w:id="17">
    <w:p w:rsidR="00EC6426" w:rsidRDefault="00EC6426" w:rsidP="00EC6426">
      <w:pPr>
        <w:pStyle w:val="FootnoteText"/>
      </w:pPr>
      <w:r>
        <w:rPr>
          <w:rStyle w:val="FootnoteReference"/>
        </w:rPr>
        <w:footnoteRef/>
      </w:r>
      <w:r>
        <w:t xml:space="preserve"> 1995 now 2022 Transfer Pricing Principles.</w:t>
      </w:r>
    </w:p>
  </w:footnote>
  <w:footnote w:id="18">
    <w:p w:rsidR="00EC6426" w:rsidRDefault="00EC6426" w:rsidP="00EC6426">
      <w:pPr>
        <w:pStyle w:val="FootnoteText"/>
      </w:pPr>
      <w:r>
        <w:rPr>
          <w:rStyle w:val="FootnoteReference"/>
        </w:rPr>
        <w:footnoteRef/>
      </w:r>
      <w:r>
        <w:t xml:space="preserve"> It replaced the old Income </w:t>
      </w:r>
      <w:proofErr w:type="gramStart"/>
      <w:r>
        <w:t>Tax  (</w:t>
      </w:r>
      <w:proofErr w:type="gramEnd"/>
      <w:r>
        <w:t>Transfer Pricing) Regulations 2012. The new Regulation made provision for significant penalties for non-compliance.</w:t>
      </w:r>
    </w:p>
  </w:footnote>
  <w:footnote w:id="19">
    <w:p w:rsidR="00EC6426" w:rsidRDefault="00EC6426" w:rsidP="00EC6426">
      <w:pPr>
        <w:pStyle w:val="FootnoteText"/>
      </w:pPr>
      <w:r>
        <w:rPr>
          <w:rStyle w:val="FootnoteReference"/>
        </w:rPr>
        <w:footnoteRef/>
      </w:r>
      <w:r>
        <w:t xml:space="preserve"> The 2018 Regulations are to be applied in a manner that is consistent with the OECD Transfer Pricing Guidelines for Multinational Enterprises and Tax Administrations 2017 (OECD TP Guidelines) and the UN’s Practical Manual on Transfer Pricing for Developing Countries 2017 (UN Manual) as may be supplem</w:t>
      </w:r>
      <w:r w:rsidR="0088494D">
        <w:t xml:space="preserve">ented and updated from time to </w:t>
      </w:r>
      <w:r>
        <w:t>time.</w:t>
      </w:r>
    </w:p>
  </w:footnote>
  <w:footnote w:id="20">
    <w:p w:rsidR="00EC6426" w:rsidRDefault="00EC6426" w:rsidP="00EC6426">
      <w:pPr>
        <w:pStyle w:val="FootnoteText"/>
      </w:pPr>
      <w:r>
        <w:rPr>
          <w:rStyle w:val="FootnoteReference"/>
        </w:rPr>
        <w:footnoteRef/>
      </w:r>
      <w:r>
        <w:t xml:space="preserve"> Was signed into law on 13 January 2020.</w:t>
      </w:r>
    </w:p>
  </w:footnote>
  <w:footnote w:id="21">
    <w:p w:rsidR="00EC6426" w:rsidRDefault="00EC6426" w:rsidP="00EC6426">
      <w:pPr>
        <w:pStyle w:val="FootnoteText"/>
      </w:pPr>
      <w:r>
        <w:rPr>
          <w:rStyle w:val="FootnoteReference"/>
        </w:rPr>
        <w:footnoteRef/>
      </w:r>
      <w:r>
        <w:t xml:space="preserve"> An electronic transfer pricing filing portal.</w:t>
      </w:r>
    </w:p>
  </w:footnote>
  <w:footnote w:id="22">
    <w:p w:rsidR="00EC6426" w:rsidRDefault="00EC6426" w:rsidP="00EC6426">
      <w:pPr>
        <w:pStyle w:val="FootnoteText"/>
      </w:pPr>
      <w:r>
        <w:rPr>
          <w:rStyle w:val="FootnoteReference"/>
        </w:rPr>
        <w:footnoteRef/>
      </w:r>
      <w:r w:rsidR="0088494D">
        <w:t xml:space="preserve"> A </w:t>
      </w:r>
      <w:proofErr w:type="spellStart"/>
      <w:r w:rsidR="0088494D">
        <w:t>Olatunji</w:t>
      </w:r>
      <w:proofErr w:type="spellEnd"/>
      <w:r w:rsidR="0088494D">
        <w:t>,</w:t>
      </w:r>
      <w:r>
        <w:t xml:space="preserve"> ‘</w:t>
      </w:r>
      <w:r w:rsidR="0088494D">
        <w:t xml:space="preserve">Transfer Pricing: The Nigerian Perspective’ </w:t>
      </w:r>
      <w:r w:rsidR="0088494D" w:rsidRPr="0005134D">
        <w:rPr>
          <w:i/>
        </w:rPr>
        <w:t>International Journal of Accounting</w:t>
      </w:r>
      <w:r w:rsidR="0088494D">
        <w:t xml:space="preserve"> </w:t>
      </w:r>
      <w:r>
        <w:t xml:space="preserve"> </w:t>
      </w:r>
      <w:r w:rsidR="0005134D">
        <w:t>&lt;</w:t>
      </w:r>
      <w:hyperlink w:history="1">
        <w:r w:rsidR="0005134D" w:rsidRPr="002352CA">
          <w:rPr>
            <w:rStyle w:val="Hyperlink"/>
          </w:rPr>
          <w:t>http://ijatnet.com&gt;ijat&gt;2</w:t>
        </w:r>
      </w:hyperlink>
      <w:r w:rsidR="0005134D">
        <w:t xml:space="preserve"> &gt;</w:t>
      </w:r>
      <w:r>
        <w:t xml:space="preserve"> </w:t>
      </w:r>
      <w:r w:rsidR="0005134D">
        <w:t>accessed 5 June 2023</w:t>
      </w:r>
    </w:p>
  </w:footnote>
  <w:footnote w:id="23">
    <w:p w:rsidR="00EC6426" w:rsidRDefault="00EC6426" w:rsidP="00EC6426">
      <w:pPr>
        <w:pStyle w:val="FootnoteText"/>
      </w:pPr>
      <w:r>
        <w:rPr>
          <w:rStyle w:val="FootnoteReference"/>
        </w:rPr>
        <w:footnoteRef/>
      </w:r>
      <w:r>
        <w:t xml:space="preserve"> TAT/LZ/CIT/015/2017</w:t>
      </w:r>
    </w:p>
  </w:footnote>
  <w:footnote w:id="24">
    <w:p w:rsidR="00EC6426" w:rsidRDefault="00EC6426" w:rsidP="00EC6426">
      <w:pPr>
        <w:pStyle w:val="FootnoteText"/>
      </w:pPr>
      <w:r>
        <w:rPr>
          <w:rStyle w:val="FootnoteReference"/>
        </w:rPr>
        <w:footnoteRef/>
      </w:r>
      <w:r w:rsidR="008F0BB3">
        <w:t xml:space="preserve"> Andersen</w:t>
      </w:r>
      <w:r>
        <w:t xml:space="preserve">, </w:t>
      </w:r>
      <w:r w:rsidR="00813990">
        <w:t>‘</w:t>
      </w:r>
      <w:r>
        <w:t>Tax Appeal Tribunal Rules on the First Transfer Pricing Case in Nigeria</w:t>
      </w:r>
      <w:r w:rsidR="00813990">
        <w:t>’</w:t>
      </w:r>
      <w:r>
        <w:t xml:space="preserve">. </w:t>
      </w:r>
      <w:r w:rsidR="00813990">
        <w:t>&lt;</w:t>
      </w:r>
      <w:hyperlink w:history="1">
        <w:r w:rsidRPr="0088405E">
          <w:rPr>
            <w:rStyle w:val="Hyperlink"/>
          </w:rPr>
          <w:t>https://ng.andersen.com&gt;tax-appea</w:t>
        </w:r>
      </w:hyperlink>
      <w:r>
        <w:t xml:space="preserve">... </w:t>
      </w:r>
      <w:r w:rsidR="00813990">
        <w:t>&gt; accessed 10 June 2023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16507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3"/>
    <w:multiLevelType w:val="hybridMultilevel"/>
    <w:tmpl w:val="7A4E7D18"/>
    <w:lvl w:ilvl="0" w:tplc="5D34FF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6"/>
    <w:multiLevelType w:val="hybridMultilevel"/>
    <w:tmpl w:val="882803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250B41"/>
    <w:multiLevelType w:val="hybridMultilevel"/>
    <w:tmpl w:val="A4E8068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F8F43B4"/>
    <w:multiLevelType w:val="hybridMultilevel"/>
    <w:tmpl w:val="FC447CB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DF7D47"/>
    <w:multiLevelType w:val="hybridMultilevel"/>
    <w:tmpl w:val="AA74C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426"/>
    <w:rsid w:val="00013F9F"/>
    <w:rsid w:val="00021144"/>
    <w:rsid w:val="0005134D"/>
    <w:rsid w:val="00055C33"/>
    <w:rsid w:val="00083134"/>
    <w:rsid w:val="000D2BBB"/>
    <w:rsid w:val="00133D73"/>
    <w:rsid w:val="00161FFD"/>
    <w:rsid w:val="00163B5B"/>
    <w:rsid w:val="00273D98"/>
    <w:rsid w:val="002776BA"/>
    <w:rsid w:val="00295CBE"/>
    <w:rsid w:val="00303706"/>
    <w:rsid w:val="003A718D"/>
    <w:rsid w:val="003E592D"/>
    <w:rsid w:val="004305FF"/>
    <w:rsid w:val="004651D7"/>
    <w:rsid w:val="004B3E11"/>
    <w:rsid w:val="00545040"/>
    <w:rsid w:val="00584734"/>
    <w:rsid w:val="00612FEE"/>
    <w:rsid w:val="006157CF"/>
    <w:rsid w:val="00620C32"/>
    <w:rsid w:val="006429B3"/>
    <w:rsid w:val="00651EC6"/>
    <w:rsid w:val="00671743"/>
    <w:rsid w:val="006B5890"/>
    <w:rsid w:val="006D2922"/>
    <w:rsid w:val="007920BE"/>
    <w:rsid w:val="007D3F05"/>
    <w:rsid w:val="00801182"/>
    <w:rsid w:val="00813990"/>
    <w:rsid w:val="00835D43"/>
    <w:rsid w:val="00871688"/>
    <w:rsid w:val="0088494D"/>
    <w:rsid w:val="00884CF5"/>
    <w:rsid w:val="008B3C6D"/>
    <w:rsid w:val="008F0BB3"/>
    <w:rsid w:val="00917794"/>
    <w:rsid w:val="009B5773"/>
    <w:rsid w:val="009D3D34"/>
    <w:rsid w:val="009D68E5"/>
    <w:rsid w:val="00A11038"/>
    <w:rsid w:val="00A530FA"/>
    <w:rsid w:val="00A67A01"/>
    <w:rsid w:val="00A70F90"/>
    <w:rsid w:val="00AB29CF"/>
    <w:rsid w:val="00AC6427"/>
    <w:rsid w:val="00B0152B"/>
    <w:rsid w:val="00B47B64"/>
    <w:rsid w:val="00B60C3A"/>
    <w:rsid w:val="00B675C9"/>
    <w:rsid w:val="00BA6DF7"/>
    <w:rsid w:val="00BF2A41"/>
    <w:rsid w:val="00C35412"/>
    <w:rsid w:val="00C508AA"/>
    <w:rsid w:val="00C5586E"/>
    <w:rsid w:val="00C71DF0"/>
    <w:rsid w:val="00CA282D"/>
    <w:rsid w:val="00CC68B0"/>
    <w:rsid w:val="00D25EF9"/>
    <w:rsid w:val="00E237AB"/>
    <w:rsid w:val="00E56AB6"/>
    <w:rsid w:val="00E74ED5"/>
    <w:rsid w:val="00E97C6E"/>
    <w:rsid w:val="00EC6426"/>
    <w:rsid w:val="00ED1852"/>
    <w:rsid w:val="00F322CE"/>
    <w:rsid w:val="00F730CF"/>
    <w:rsid w:val="00F7648A"/>
    <w:rsid w:val="00FD16E0"/>
    <w:rsid w:val="00FF014B"/>
    <w:rsid w:val="00FF5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4F45E4-AB30-4E4C-A3BF-DFECE91D2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42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EC6426"/>
    <w:pPr>
      <w:spacing w:after="0" w:line="240" w:lineRule="auto"/>
    </w:pPr>
    <w:rPr>
      <w:sz w:val="20"/>
      <w:szCs w:val="20"/>
    </w:rPr>
  </w:style>
  <w:style w:type="character" w:customStyle="1" w:styleId="FootnoteTextChar">
    <w:name w:val="Footnote Text Char"/>
    <w:basedOn w:val="DefaultParagraphFont"/>
    <w:link w:val="FootnoteText"/>
    <w:uiPriority w:val="99"/>
    <w:rsid w:val="00EC6426"/>
    <w:rPr>
      <w:sz w:val="20"/>
      <w:szCs w:val="20"/>
    </w:rPr>
  </w:style>
  <w:style w:type="character" w:styleId="FootnoteReference">
    <w:name w:val="footnote reference"/>
    <w:basedOn w:val="DefaultParagraphFont"/>
    <w:uiPriority w:val="99"/>
    <w:rsid w:val="00EC6426"/>
    <w:rPr>
      <w:vertAlign w:val="superscript"/>
    </w:rPr>
  </w:style>
  <w:style w:type="character" w:styleId="Hyperlink">
    <w:name w:val="Hyperlink"/>
    <w:basedOn w:val="DefaultParagraphFont"/>
    <w:uiPriority w:val="99"/>
    <w:rsid w:val="00EC6426"/>
    <w:rPr>
      <w:color w:val="0000FF"/>
      <w:u w:val="single"/>
    </w:rPr>
  </w:style>
  <w:style w:type="paragraph" w:styleId="ListParagraph">
    <w:name w:val="List Paragraph"/>
    <w:basedOn w:val="Normal"/>
    <w:uiPriority w:val="34"/>
    <w:qFormat/>
    <w:rsid w:val="00EC6426"/>
    <w:pPr>
      <w:ind w:left="720"/>
      <w:contextualSpacing/>
    </w:pPr>
  </w:style>
  <w:style w:type="character" w:styleId="HTMLCite">
    <w:name w:val="HTML Cite"/>
    <w:basedOn w:val="DefaultParagraphFont"/>
    <w:uiPriority w:val="99"/>
    <w:rsid w:val="00EC6426"/>
    <w:rPr>
      <w:i w:val="0"/>
      <w:iCs w:val="0"/>
      <w:color w:val="009030"/>
    </w:rPr>
  </w:style>
  <w:style w:type="paragraph" w:styleId="Footer">
    <w:name w:val="footer"/>
    <w:basedOn w:val="Normal"/>
    <w:link w:val="FooterChar"/>
    <w:uiPriority w:val="99"/>
    <w:unhideWhenUsed/>
    <w:rsid w:val="00EC6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vestopedia.com/terms/t/transaction.as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investopedia.com/terms/d/duress.asp" TargetMode="External"/><Relationship Id="rId4" Type="http://schemas.openxmlformats.org/officeDocument/2006/relationships/settings" Target="settings.xml"/><Relationship Id="rId9" Type="http://schemas.openxmlformats.org/officeDocument/2006/relationships/hyperlink" Target="http://www.investopedia.com/video/play/arms-length-transactio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corporatefinanceinstitute.com" TargetMode="External"/><Relationship Id="rId7" Type="http://schemas.openxmlformats.org/officeDocument/2006/relationships/hyperlink" Target="https://www.mheducation.com" TargetMode="External"/><Relationship Id="rId2" Type="http://schemas.openxmlformats.org/officeDocument/2006/relationships/hyperlink" Target="https://www.internationalresearchjournaloffinanceandeconomics.com" TargetMode="External"/><Relationship Id="rId1" Type="http://schemas.openxmlformats.org/officeDocument/2006/relationships/hyperlink" Target="https://www.investopedia.comterms" TargetMode="External"/><Relationship Id="rId6" Type="http://schemas.openxmlformats.org/officeDocument/2006/relationships/hyperlink" Target="http://gja.unilag.edu.ng/article/view/1571" TargetMode="External"/><Relationship Id="rId5" Type="http://schemas.openxmlformats.org/officeDocument/2006/relationships/hyperlink" Target="https://www.journalofaccountancy.com" TargetMode="External"/><Relationship Id="rId4" Type="http://schemas.openxmlformats.org/officeDocument/2006/relationships/hyperlink" Target="https://www.un.org2011/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6FD7E-BCB2-4D16-AAE7-B768A68AA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14</Pages>
  <Words>3939</Words>
  <Characters>22455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Docars</dc:creator>
  <cp:keywords/>
  <dc:description/>
  <cp:lastModifiedBy>hp</cp:lastModifiedBy>
  <cp:revision>46</cp:revision>
  <dcterms:created xsi:type="dcterms:W3CDTF">2023-05-25T14:21:00Z</dcterms:created>
  <dcterms:modified xsi:type="dcterms:W3CDTF">2023-09-27T12:10:00Z</dcterms:modified>
</cp:coreProperties>
</file>