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B5CDF" w14:textId="5727D4B1" w:rsidR="004C3371" w:rsidRPr="003D4632" w:rsidRDefault="00703714" w:rsidP="00FB3FAC">
      <w:pPr>
        <w:spacing w:after="0"/>
        <w:jc w:val="center"/>
        <w:rPr>
          <w:rFonts w:ascii="Times New Roman" w:hAnsi="Times New Roman" w:cs="Times New Roman"/>
          <w:b/>
          <w:bCs/>
          <w:sz w:val="24"/>
          <w:szCs w:val="24"/>
          <w:lang w:eastAsia="en-GB"/>
        </w:rPr>
      </w:pPr>
      <w:bookmarkStart w:id="0" w:name="_Hlk128737759"/>
      <w:r w:rsidRPr="003D4632">
        <w:rPr>
          <w:rFonts w:ascii="Times New Roman" w:hAnsi="Times New Roman" w:cs="Times New Roman"/>
          <w:b/>
          <w:bCs/>
          <w:sz w:val="24"/>
          <w:szCs w:val="24"/>
          <w:lang w:eastAsia="en-GB"/>
        </w:rPr>
        <w:t>EFFECT OF OWNERSHIP CONCENTRATION ON NON-PERFORMING LOANS OF DEPOSIT MONEY BANKS IN NIGERIA</w:t>
      </w:r>
    </w:p>
    <w:p w14:paraId="38165052" w14:textId="77777777" w:rsidR="006B12D2" w:rsidRDefault="006B12D2" w:rsidP="00FB3FAC">
      <w:pPr>
        <w:spacing w:after="0"/>
        <w:jc w:val="center"/>
        <w:rPr>
          <w:rFonts w:ascii="Times New Roman" w:hAnsi="Times New Roman" w:cs="Times New Roman"/>
          <w:b/>
          <w:bCs/>
          <w:sz w:val="24"/>
          <w:szCs w:val="24"/>
          <w:lang w:eastAsia="en-GB"/>
        </w:rPr>
      </w:pPr>
    </w:p>
    <w:p w14:paraId="0741836A" w14:textId="77777777" w:rsidR="009E17CC" w:rsidRDefault="009E17CC" w:rsidP="00FB3FAC">
      <w:pPr>
        <w:spacing w:after="0"/>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By</w:t>
      </w:r>
    </w:p>
    <w:p w14:paraId="775B2483" w14:textId="77777777" w:rsidR="009E17CC" w:rsidRDefault="009E17CC" w:rsidP="00FB3FAC">
      <w:pPr>
        <w:spacing w:after="0" w:line="240" w:lineRule="auto"/>
        <w:jc w:val="center"/>
        <w:rPr>
          <w:rFonts w:ascii="Times New Roman" w:hAnsi="Times New Roman" w:cs="Times New Roman"/>
          <w:b/>
          <w:bCs/>
          <w:sz w:val="24"/>
          <w:szCs w:val="24"/>
          <w:lang w:eastAsia="en-GB"/>
        </w:rPr>
      </w:pPr>
    </w:p>
    <w:p w14:paraId="7E94BFD4" w14:textId="77777777" w:rsidR="009E17CC" w:rsidRDefault="009E17CC" w:rsidP="00FB3FAC">
      <w:pPr>
        <w:spacing w:after="0"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WUYEP, Tony </w:t>
      </w:r>
      <w:proofErr w:type="spellStart"/>
      <w:r>
        <w:rPr>
          <w:rFonts w:ascii="Times New Roman" w:hAnsi="Times New Roman" w:cs="Times New Roman"/>
          <w:b/>
          <w:bCs/>
          <w:sz w:val="24"/>
          <w:szCs w:val="24"/>
          <w:lang w:eastAsia="en-GB"/>
        </w:rPr>
        <w:t>Lohven</w:t>
      </w:r>
      <w:proofErr w:type="spellEnd"/>
    </w:p>
    <w:p w14:paraId="2B902D2A" w14:textId="77777777" w:rsidR="009E17CC" w:rsidRDefault="009E17CC" w:rsidP="00FB3FAC">
      <w:pPr>
        <w:spacing w:after="0"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Department of Business Administration</w:t>
      </w:r>
    </w:p>
    <w:p w14:paraId="5521758E" w14:textId="77777777" w:rsidR="009E17CC" w:rsidRDefault="009E17CC" w:rsidP="00FB3FAC">
      <w:pPr>
        <w:spacing w:after="0"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Bingham University, </w:t>
      </w:r>
      <w:proofErr w:type="spellStart"/>
      <w:r>
        <w:rPr>
          <w:rFonts w:ascii="Times New Roman" w:hAnsi="Times New Roman" w:cs="Times New Roman"/>
          <w:b/>
          <w:bCs/>
          <w:sz w:val="24"/>
          <w:szCs w:val="24"/>
          <w:lang w:eastAsia="en-GB"/>
        </w:rPr>
        <w:t>Karu</w:t>
      </w:r>
      <w:proofErr w:type="spellEnd"/>
    </w:p>
    <w:p w14:paraId="7FA7A57E" w14:textId="77777777" w:rsidR="009E17CC" w:rsidRDefault="009E17CC" w:rsidP="00FB3FAC">
      <w:pPr>
        <w:spacing w:after="0"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Email: </w:t>
      </w:r>
      <w:hyperlink r:id="rId8" w:history="1">
        <w:r w:rsidRPr="0031342F">
          <w:rPr>
            <w:rStyle w:val="Hyperlink"/>
            <w:rFonts w:ascii="Times New Roman" w:hAnsi="Times New Roman" w:cs="Times New Roman"/>
            <w:b/>
            <w:bCs/>
            <w:sz w:val="24"/>
            <w:szCs w:val="24"/>
            <w:lang w:eastAsia="en-GB"/>
          </w:rPr>
          <w:t>tonywuyep59@gmail.com</w:t>
        </w:r>
      </w:hyperlink>
    </w:p>
    <w:p w14:paraId="5D84DBF7" w14:textId="77777777" w:rsidR="009E17CC" w:rsidRDefault="009E17CC" w:rsidP="00FB3FAC">
      <w:pPr>
        <w:spacing w:after="0" w:line="240" w:lineRule="auto"/>
        <w:jc w:val="center"/>
        <w:rPr>
          <w:rFonts w:ascii="Times New Roman" w:hAnsi="Times New Roman" w:cs="Times New Roman"/>
          <w:b/>
          <w:bCs/>
          <w:sz w:val="24"/>
          <w:szCs w:val="24"/>
          <w:lang w:eastAsia="en-GB"/>
        </w:rPr>
      </w:pPr>
    </w:p>
    <w:p w14:paraId="4CF7830C" w14:textId="77777777" w:rsidR="009E17CC" w:rsidRDefault="009E17CC" w:rsidP="00FB3FAC">
      <w:pPr>
        <w:spacing w:after="0"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And</w:t>
      </w:r>
    </w:p>
    <w:p w14:paraId="4E6B47EA" w14:textId="77777777" w:rsidR="009E17CC" w:rsidRDefault="009E17CC" w:rsidP="00FB3FAC">
      <w:pPr>
        <w:spacing w:after="0" w:line="240" w:lineRule="auto"/>
        <w:jc w:val="center"/>
        <w:rPr>
          <w:rFonts w:ascii="Times New Roman" w:hAnsi="Times New Roman" w:cs="Times New Roman"/>
          <w:b/>
          <w:bCs/>
          <w:sz w:val="24"/>
          <w:szCs w:val="24"/>
          <w:lang w:eastAsia="en-GB"/>
        </w:rPr>
      </w:pPr>
    </w:p>
    <w:p w14:paraId="04B2ACB6" w14:textId="77777777" w:rsidR="009E17CC" w:rsidRDefault="009E17CC" w:rsidP="00FB3FAC">
      <w:pPr>
        <w:spacing w:after="0"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Prof. Sam Baba </w:t>
      </w:r>
      <w:proofErr w:type="spellStart"/>
      <w:r>
        <w:rPr>
          <w:rFonts w:ascii="Times New Roman" w:hAnsi="Times New Roman" w:cs="Times New Roman"/>
          <w:b/>
          <w:bCs/>
          <w:sz w:val="24"/>
          <w:szCs w:val="24"/>
          <w:lang w:eastAsia="en-GB"/>
        </w:rPr>
        <w:t>Tende</w:t>
      </w:r>
      <w:proofErr w:type="spellEnd"/>
    </w:p>
    <w:p w14:paraId="55986748" w14:textId="77777777" w:rsidR="009E17CC" w:rsidRDefault="009E17CC" w:rsidP="00FB3FAC">
      <w:pPr>
        <w:spacing w:after="0"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Department of Business Administration</w:t>
      </w:r>
    </w:p>
    <w:p w14:paraId="52BF1297" w14:textId="77777777" w:rsidR="009E17CC" w:rsidRDefault="009E17CC" w:rsidP="00FB3FAC">
      <w:pPr>
        <w:spacing w:after="0"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Nasarawa State University, Keffi</w:t>
      </w:r>
    </w:p>
    <w:p w14:paraId="5D926140" w14:textId="0739181B" w:rsidR="006B12D2" w:rsidRDefault="009E17CC" w:rsidP="00FB3FAC">
      <w:pPr>
        <w:spacing w:after="0" w:line="240" w:lineRule="auto"/>
        <w:jc w:val="center"/>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Email: </w:t>
      </w:r>
      <w:hyperlink r:id="rId9" w:history="1">
        <w:r w:rsidRPr="0031342F">
          <w:rPr>
            <w:rStyle w:val="Hyperlink"/>
            <w:rFonts w:ascii="Times New Roman" w:hAnsi="Times New Roman" w:cs="Times New Roman"/>
            <w:b/>
            <w:bCs/>
            <w:sz w:val="24"/>
            <w:szCs w:val="24"/>
            <w:lang w:eastAsia="en-GB"/>
          </w:rPr>
          <w:t>tende_sam@yahoo.com</w:t>
        </w:r>
      </w:hyperlink>
    </w:p>
    <w:p w14:paraId="4760ACBD" w14:textId="77777777" w:rsidR="00EE331A" w:rsidRDefault="00EE331A" w:rsidP="00FB3FAC">
      <w:pPr>
        <w:spacing w:after="0" w:line="240" w:lineRule="auto"/>
        <w:jc w:val="center"/>
        <w:rPr>
          <w:rFonts w:ascii="Times New Roman" w:hAnsi="Times New Roman" w:cs="Times New Roman"/>
          <w:b/>
          <w:bCs/>
          <w:sz w:val="24"/>
          <w:szCs w:val="24"/>
          <w:lang w:eastAsia="en-GB"/>
        </w:rPr>
      </w:pPr>
    </w:p>
    <w:p w14:paraId="3ED8FDA0" w14:textId="1EBEC581" w:rsidR="007B1A30" w:rsidRPr="003D4632" w:rsidRDefault="007B1A30" w:rsidP="00FB3FAC">
      <w:pPr>
        <w:autoSpaceDE w:val="0"/>
        <w:autoSpaceDN w:val="0"/>
        <w:adjustRightInd w:val="0"/>
        <w:spacing w:after="0" w:line="240" w:lineRule="auto"/>
        <w:jc w:val="center"/>
        <w:rPr>
          <w:rFonts w:ascii="Times New Roman" w:hAnsi="Times New Roman" w:cs="Times New Roman"/>
          <w:b/>
          <w:i/>
          <w:sz w:val="24"/>
          <w:szCs w:val="24"/>
        </w:rPr>
      </w:pPr>
      <w:r w:rsidRPr="003D4632">
        <w:rPr>
          <w:rFonts w:ascii="Times New Roman" w:hAnsi="Times New Roman" w:cs="Times New Roman"/>
          <w:b/>
          <w:sz w:val="24"/>
          <w:szCs w:val="24"/>
        </w:rPr>
        <w:t>Abstract</w:t>
      </w:r>
    </w:p>
    <w:p w14:paraId="49AFD92C" w14:textId="77777777" w:rsidR="00FB3FAC" w:rsidRDefault="00B24AE7" w:rsidP="00FB3FAC">
      <w:pPr>
        <w:pStyle w:val="NormalWeb"/>
        <w:spacing w:before="0" w:beforeAutospacing="0" w:after="0" w:afterAutospacing="0"/>
        <w:jc w:val="both"/>
        <w:rPr>
          <w:i/>
          <w:color w:val="000000"/>
        </w:rPr>
      </w:pPr>
      <w:r w:rsidRPr="003D4632">
        <w:rPr>
          <w:i/>
        </w:rPr>
        <w:t xml:space="preserve">Despite the great lessons gained from extant studies coupled with the several measures </w:t>
      </w:r>
      <w:r w:rsidR="0045309B" w:rsidRPr="003D4632">
        <w:rPr>
          <w:i/>
        </w:rPr>
        <w:t>adopted by the CBN to curb the rising position of NPLs, bad loans have continued to increase causing serious financial crises and bank distress. Th</w:t>
      </w:r>
      <w:r w:rsidR="00AA464F" w:rsidRPr="003D4632">
        <w:rPr>
          <w:i/>
        </w:rPr>
        <w:t>is</w:t>
      </w:r>
      <w:r w:rsidR="0045309B" w:rsidRPr="003D4632">
        <w:rPr>
          <w:i/>
        </w:rPr>
        <w:t xml:space="preserve"> study investigates the </w:t>
      </w:r>
      <w:r w:rsidR="0045309B" w:rsidRPr="003D4632">
        <w:rPr>
          <w:i/>
          <w:lang w:val="en-GB"/>
        </w:rPr>
        <w:t xml:space="preserve">effect of ownership concentration on </w:t>
      </w:r>
      <w:proofErr w:type="gramStart"/>
      <w:r w:rsidR="0045309B" w:rsidRPr="003D4632">
        <w:rPr>
          <w:i/>
          <w:lang w:val="en-GB"/>
        </w:rPr>
        <w:t>Non-Performing</w:t>
      </w:r>
      <w:proofErr w:type="gramEnd"/>
      <w:r w:rsidR="0045309B" w:rsidRPr="003D4632">
        <w:rPr>
          <w:i/>
          <w:lang w:val="en-GB"/>
        </w:rPr>
        <w:t xml:space="preserve"> loans </w:t>
      </w:r>
      <w:r w:rsidR="0045309B" w:rsidRPr="003D4632">
        <w:rPr>
          <w:i/>
        </w:rPr>
        <w:t>of</w:t>
      </w:r>
      <w:r w:rsidR="0045309B" w:rsidRPr="003D4632">
        <w:rPr>
          <w:rStyle w:val="field-content"/>
          <w:i/>
        </w:rPr>
        <w:t xml:space="preserve"> deposit money banks in Nigeria</w:t>
      </w:r>
      <w:r w:rsidR="0045309B" w:rsidRPr="003D4632">
        <w:rPr>
          <w:i/>
        </w:rPr>
        <w:t xml:space="preserve">.  </w:t>
      </w:r>
      <w:r w:rsidR="007B1A30" w:rsidRPr="003D4632">
        <w:rPr>
          <w:i/>
          <w:color w:val="000000"/>
        </w:rPr>
        <w:t xml:space="preserve">The study used ex-post facto research design. </w:t>
      </w:r>
      <w:r w:rsidR="007B1A30" w:rsidRPr="003D4632">
        <w:rPr>
          <w:i/>
          <w:lang w:val="en-ZA"/>
        </w:rPr>
        <w:t>The population of this study comprises all</w:t>
      </w:r>
      <w:r w:rsidR="00C617FB" w:rsidRPr="003D4632">
        <w:rPr>
          <w:i/>
        </w:rPr>
        <w:t xml:space="preserve"> </w:t>
      </w:r>
      <w:r w:rsidR="00DC3D72" w:rsidRPr="003D4632">
        <w:rPr>
          <w:i/>
        </w:rPr>
        <w:t>the</w:t>
      </w:r>
      <w:r w:rsidR="00167DDA">
        <w:rPr>
          <w:i/>
        </w:rPr>
        <w:t xml:space="preserve"> </w:t>
      </w:r>
      <w:r w:rsidR="00C617FB" w:rsidRPr="003D4632">
        <w:rPr>
          <w:i/>
        </w:rPr>
        <w:t>14</w:t>
      </w:r>
      <w:r w:rsidR="007B1A30" w:rsidRPr="003D4632">
        <w:rPr>
          <w:i/>
        </w:rPr>
        <w:t xml:space="preserve"> quoted </w:t>
      </w:r>
      <w:r w:rsidR="00BF52AE" w:rsidRPr="003D4632">
        <w:rPr>
          <w:i/>
        </w:rPr>
        <w:t>deposit money banks in Nigeria</w:t>
      </w:r>
      <w:r w:rsidR="007B1A30" w:rsidRPr="003D4632">
        <w:rPr>
          <w:i/>
        </w:rPr>
        <w:t>.</w:t>
      </w:r>
      <w:r w:rsidR="00BF52AE" w:rsidRPr="003D4632">
        <w:rPr>
          <w:i/>
        </w:rPr>
        <w:t xml:space="preserve"> </w:t>
      </w:r>
      <w:r w:rsidR="005555B1">
        <w:rPr>
          <w:i/>
        </w:rPr>
        <w:t>E</w:t>
      </w:r>
      <w:r w:rsidR="00BF52AE" w:rsidRPr="003D4632">
        <w:rPr>
          <w:i/>
          <w:spacing w:val="6"/>
        </w:rPr>
        <w:t>ight (8) deposit money banks licensed with in</w:t>
      </w:r>
      <w:r w:rsidR="00DC3D72" w:rsidRPr="003D4632">
        <w:rPr>
          <w:i/>
          <w:spacing w:val="6"/>
        </w:rPr>
        <w:t xml:space="preserve">ternational authorities were used as </w:t>
      </w:r>
      <w:r w:rsidR="002B5146">
        <w:rPr>
          <w:i/>
          <w:spacing w:val="6"/>
        </w:rPr>
        <w:t xml:space="preserve">a </w:t>
      </w:r>
      <w:r w:rsidR="00DC3D72" w:rsidRPr="003D4632">
        <w:rPr>
          <w:i/>
          <w:spacing w:val="6"/>
        </w:rPr>
        <w:t>sample size.</w:t>
      </w:r>
      <w:r w:rsidR="00BF52AE" w:rsidRPr="003D4632">
        <w:rPr>
          <w:i/>
        </w:rPr>
        <w:t xml:space="preserve"> </w:t>
      </w:r>
      <w:r w:rsidR="007B1A30" w:rsidRPr="003D4632">
        <w:rPr>
          <w:i/>
        </w:rPr>
        <w:t xml:space="preserve"> </w:t>
      </w:r>
      <w:r w:rsidR="00DC3D72" w:rsidRPr="003D4632">
        <w:rPr>
          <w:i/>
        </w:rPr>
        <w:t>Data was collected</w:t>
      </w:r>
      <w:r w:rsidR="007B1A30" w:rsidRPr="003D4632">
        <w:rPr>
          <w:i/>
        </w:rPr>
        <w:t xml:space="preserve"> from </w:t>
      </w:r>
      <w:r w:rsidR="00DC3D72" w:rsidRPr="003D4632">
        <w:rPr>
          <w:i/>
        </w:rPr>
        <w:t>the annual financial reports and accounts of the sampled deposit money banks, the Central Bank of</w:t>
      </w:r>
      <w:r w:rsidR="005B4645" w:rsidRPr="003D4632">
        <w:rPr>
          <w:i/>
        </w:rPr>
        <w:t xml:space="preserve"> Nigeria and </w:t>
      </w:r>
      <w:r w:rsidR="002B5146">
        <w:rPr>
          <w:i/>
        </w:rPr>
        <w:t xml:space="preserve">the </w:t>
      </w:r>
      <w:r w:rsidR="005B4645" w:rsidRPr="003D4632">
        <w:rPr>
          <w:i/>
        </w:rPr>
        <w:t xml:space="preserve">Nigerian Exchange </w:t>
      </w:r>
      <w:r w:rsidR="008537BD" w:rsidRPr="003D4632">
        <w:rPr>
          <w:i/>
        </w:rPr>
        <w:t>Group</w:t>
      </w:r>
      <w:r w:rsidR="005B4645" w:rsidRPr="003D4632">
        <w:rPr>
          <w:i/>
        </w:rPr>
        <w:t>.</w:t>
      </w:r>
      <w:r w:rsidR="007B1A30" w:rsidRPr="003D4632">
        <w:rPr>
          <w:i/>
        </w:rPr>
        <w:t xml:space="preserve"> </w:t>
      </w:r>
      <w:r w:rsidR="007B1A30" w:rsidRPr="003D4632">
        <w:rPr>
          <w:i/>
          <w:lang w:val="en-ZA"/>
        </w:rPr>
        <w:t>Descriptive statistics, correlation test and Panel reg</w:t>
      </w:r>
      <w:r w:rsidR="005B4645" w:rsidRPr="003D4632">
        <w:rPr>
          <w:i/>
          <w:lang w:val="en-ZA"/>
        </w:rPr>
        <w:t>ression were used for analysis</w:t>
      </w:r>
      <w:r w:rsidR="007B1A30" w:rsidRPr="003D4632">
        <w:rPr>
          <w:i/>
        </w:rPr>
        <w:t xml:space="preserve"> and the findings showed that </w:t>
      </w:r>
      <w:r w:rsidR="00183E53" w:rsidRPr="003D4632">
        <w:rPr>
          <w:i/>
        </w:rPr>
        <w:t>ownership concentration (O</w:t>
      </w:r>
      <w:r w:rsidR="005555B1">
        <w:rPr>
          <w:i/>
        </w:rPr>
        <w:t>C</w:t>
      </w:r>
      <w:r w:rsidR="00183E53" w:rsidRPr="003D4632">
        <w:rPr>
          <w:i/>
        </w:rPr>
        <w:t xml:space="preserve">) has </w:t>
      </w:r>
      <w:r w:rsidR="002B5146">
        <w:rPr>
          <w:i/>
        </w:rPr>
        <w:t xml:space="preserve">a </w:t>
      </w:r>
      <w:r w:rsidR="00183E53" w:rsidRPr="003D4632">
        <w:rPr>
          <w:i/>
        </w:rPr>
        <w:t>negative and significant effect on non-performing loan</w:t>
      </w:r>
      <w:r w:rsidR="00032D39" w:rsidRPr="003D4632">
        <w:rPr>
          <w:i/>
        </w:rPr>
        <w:t>s</w:t>
      </w:r>
      <w:r w:rsidR="00183E53" w:rsidRPr="003D4632">
        <w:rPr>
          <w:i/>
        </w:rPr>
        <w:t xml:space="preserve"> of depo</w:t>
      </w:r>
      <w:r w:rsidR="005B4645" w:rsidRPr="003D4632">
        <w:rPr>
          <w:i/>
        </w:rPr>
        <w:t xml:space="preserve">sit money banks in Nigeria. </w:t>
      </w:r>
      <w:r w:rsidR="005555B1">
        <w:rPr>
          <w:i/>
        </w:rPr>
        <w:t>Other findings showed that</w:t>
      </w:r>
      <w:r w:rsidR="009F2E48" w:rsidRPr="003D4632">
        <w:rPr>
          <w:i/>
        </w:rPr>
        <w:t xml:space="preserve"> bank size</w:t>
      </w:r>
      <w:r w:rsidR="00183E53" w:rsidRPr="003D4632">
        <w:rPr>
          <w:i/>
        </w:rPr>
        <w:t xml:space="preserve"> has </w:t>
      </w:r>
      <w:r w:rsidR="002B5146">
        <w:rPr>
          <w:i/>
        </w:rPr>
        <w:t xml:space="preserve">a </w:t>
      </w:r>
      <w:r w:rsidR="00183E53" w:rsidRPr="003D4632">
        <w:rPr>
          <w:i/>
        </w:rPr>
        <w:t>positive and insignificant effect on non-performing loan</w:t>
      </w:r>
      <w:r w:rsidR="006B1BE6" w:rsidRPr="003D4632">
        <w:rPr>
          <w:i/>
        </w:rPr>
        <w:t>s</w:t>
      </w:r>
      <w:r w:rsidR="00183E53" w:rsidRPr="003D4632">
        <w:rPr>
          <w:i/>
        </w:rPr>
        <w:t xml:space="preserve"> of deposit money banks in Nigeria. The study recommended that</w:t>
      </w:r>
      <w:r w:rsidR="00EB371F" w:rsidRPr="003D4632">
        <w:rPr>
          <w:i/>
        </w:rPr>
        <w:t xml:space="preserve"> the Central Bank of Nigeria</w:t>
      </w:r>
      <w:r w:rsidR="009F2E48" w:rsidRPr="003D4632">
        <w:rPr>
          <w:i/>
          <w:color w:val="000000"/>
        </w:rPr>
        <w:t xml:space="preserve"> should</w:t>
      </w:r>
      <w:r w:rsidR="00EB371F" w:rsidRPr="003D4632">
        <w:rPr>
          <w:i/>
          <w:color w:val="000000"/>
        </w:rPr>
        <w:t xml:space="preserve"> invigorate its supervisory role while </w:t>
      </w:r>
      <w:r w:rsidR="00961329" w:rsidRPr="003D4632">
        <w:rPr>
          <w:i/>
          <w:color w:val="000000"/>
        </w:rPr>
        <w:t>reviewing</w:t>
      </w:r>
      <w:r w:rsidR="00F233BA" w:rsidRPr="003D4632">
        <w:rPr>
          <w:i/>
          <w:color w:val="000000"/>
        </w:rPr>
        <w:t xml:space="preserve"> </w:t>
      </w:r>
      <w:r w:rsidR="00C05E7C" w:rsidRPr="003D4632">
        <w:rPr>
          <w:i/>
          <w:color w:val="000000"/>
        </w:rPr>
        <w:t>corporate governance policies</w:t>
      </w:r>
      <w:r w:rsidR="009F2E48" w:rsidRPr="003D4632">
        <w:rPr>
          <w:i/>
          <w:color w:val="000000"/>
        </w:rPr>
        <w:t xml:space="preserve"> on</w:t>
      </w:r>
      <w:r w:rsidR="00EB371F" w:rsidRPr="003D4632">
        <w:rPr>
          <w:i/>
          <w:color w:val="000000"/>
        </w:rPr>
        <w:t xml:space="preserve"> ownership </w:t>
      </w:r>
      <w:r w:rsidR="005555B1">
        <w:rPr>
          <w:i/>
          <w:color w:val="000000"/>
        </w:rPr>
        <w:t xml:space="preserve">concentration to limit the growth of nonperforming assets </w:t>
      </w:r>
      <w:r w:rsidR="005A179B">
        <w:rPr>
          <w:i/>
          <w:color w:val="000000"/>
        </w:rPr>
        <w:t>to the barest minimum</w:t>
      </w:r>
      <w:r w:rsidR="00961329" w:rsidRPr="003D4632">
        <w:rPr>
          <w:i/>
          <w:color w:val="000000"/>
        </w:rPr>
        <w:t>.</w:t>
      </w:r>
      <w:r w:rsidR="006B45F4" w:rsidRPr="003D4632">
        <w:rPr>
          <w:i/>
          <w:color w:val="000000"/>
        </w:rPr>
        <w:t xml:space="preserve"> This will</w:t>
      </w:r>
      <w:r w:rsidR="005A179B">
        <w:rPr>
          <w:i/>
          <w:color w:val="000000"/>
        </w:rPr>
        <w:t xml:space="preserve"> also </w:t>
      </w:r>
      <w:r w:rsidR="009F2E48" w:rsidRPr="003D4632">
        <w:rPr>
          <w:i/>
          <w:color w:val="000000"/>
        </w:rPr>
        <w:t xml:space="preserve">minimize </w:t>
      </w:r>
      <w:r w:rsidR="00EB371F" w:rsidRPr="003D4632">
        <w:rPr>
          <w:i/>
          <w:color w:val="000000"/>
        </w:rPr>
        <w:t xml:space="preserve">the </w:t>
      </w:r>
      <w:r w:rsidR="00961329" w:rsidRPr="003D4632">
        <w:rPr>
          <w:i/>
          <w:color w:val="000000"/>
        </w:rPr>
        <w:t xml:space="preserve">chances of </w:t>
      </w:r>
      <w:r w:rsidR="00EF3F3A" w:rsidRPr="003D4632">
        <w:rPr>
          <w:i/>
          <w:color w:val="000000"/>
        </w:rPr>
        <w:t xml:space="preserve">allowing incompetent investors to control the affairs </w:t>
      </w:r>
      <w:r w:rsidR="006B1BE6" w:rsidRPr="003D4632">
        <w:rPr>
          <w:i/>
          <w:color w:val="000000"/>
        </w:rPr>
        <w:t>of</w:t>
      </w:r>
      <w:r w:rsidR="00BD4F8A" w:rsidRPr="003D4632">
        <w:rPr>
          <w:i/>
          <w:color w:val="000000"/>
        </w:rPr>
        <w:t xml:space="preserve"> banks</w:t>
      </w:r>
      <w:r w:rsidR="00C05E7C" w:rsidRPr="003D4632">
        <w:rPr>
          <w:i/>
          <w:color w:val="000000"/>
        </w:rPr>
        <w:t xml:space="preserve"> </w:t>
      </w:r>
      <w:r w:rsidR="00F80073" w:rsidRPr="003D4632">
        <w:rPr>
          <w:i/>
          <w:color w:val="000000"/>
        </w:rPr>
        <w:t>while</w:t>
      </w:r>
      <w:r w:rsidR="00C05E7C" w:rsidRPr="003D4632">
        <w:rPr>
          <w:i/>
          <w:color w:val="000000"/>
        </w:rPr>
        <w:t xml:space="preserve"> creating a </w:t>
      </w:r>
      <w:r w:rsidR="005A179B">
        <w:rPr>
          <w:i/>
          <w:color w:val="000000"/>
        </w:rPr>
        <w:t xml:space="preserve">more </w:t>
      </w:r>
      <w:r w:rsidR="00C05E7C" w:rsidRPr="003D4632">
        <w:rPr>
          <w:i/>
          <w:color w:val="000000"/>
        </w:rPr>
        <w:t xml:space="preserve">conducive atmosphere to attract foreign investors who possess </w:t>
      </w:r>
      <w:r w:rsidR="002B5146" w:rsidRPr="003D4632">
        <w:rPr>
          <w:i/>
          <w:color w:val="000000"/>
        </w:rPr>
        <w:t>firm</w:t>
      </w:r>
      <w:r w:rsidR="002B5146">
        <w:rPr>
          <w:i/>
          <w:color w:val="000000"/>
        </w:rPr>
        <w:t>-</w:t>
      </w:r>
      <w:r w:rsidR="00C05E7C" w:rsidRPr="003D4632">
        <w:rPr>
          <w:i/>
          <w:color w:val="000000"/>
        </w:rPr>
        <w:t xml:space="preserve">specific advantages to boost performance and </w:t>
      </w:r>
      <w:r w:rsidR="005A179B">
        <w:rPr>
          <w:i/>
          <w:color w:val="000000"/>
        </w:rPr>
        <w:t>limit</w:t>
      </w:r>
      <w:r w:rsidR="00C05E7C" w:rsidRPr="003D4632">
        <w:rPr>
          <w:i/>
          <w:color w:val="000000"/>
        </w:rPr>
        <w:t xml:space="preserve"> the growth of bad loans in the banking sector.</w:t>
      </w:r>
    </w:p>
    <w:p w14:paraId="0B976AEE" w14:textId="77777777" w:rsidR="00FB3FAC" w:rsidRDefault="00FB3FAC" w:rsidP="00FB3FAC">
      <w:pPr>
        <w:pStyle w:val="NormalWeb"/>
        <w:spacing w:before="0" w:beforeAutospacing="0" w:after="0" w:afterAutospacing="0"/>
        <w:jc w:val="both"/>
        <w:rPr>
          <w:i/>
          <w:color w:val="000000"/>
        </w:rPr>
      </w:pPr>
    </w:p>
    <w:p w14:paraId="3AB07C90" w14:textId="623E5032" w:rsidR="007B1A30" w:rsidRPr="00FB3FAC" w:rsidRDefault="007B1A30" w:rsidP="00FB3FAC">
      <w:pPr>
        <w:pStyle w:val="NormalWeb"/>
        <w:spacing w:before="0" w:beforeAutospacing="0" w:after="0" w:afterAutospacing="0"/>
        <w:jc w:val="both"/>
        <w:rPr>
          <w:color w:val="000000"/>
        </w:rPr>
      </w:pPr>
      <w:r w:rsidRPr="00FB3FAC">
        <w:rPr>
          <w:b/>
        </w:rPr>
        <w:t>Keywords:</w:t>
      </w:r>
      <w:r w:rsidR="00DA61E1" w:rsidRPr="00FB3FAC">
        <w:t xml:space="preserve"> Ownership concentration, Deposit Money Banks, </w:t>
      </w:r>
      <w:r w:rsidR="00F61C17" w:rsidRPr="00FB3FAC">
        <w:t>n</w:t>
      </w:r>
      <w:r w:rsidR="00DA61E1" w:rsidRPr="00FB3FAC">
        <w:t>on</w:t>
      </w:r>
      <w:r w:rsidR="00F61C17" w:rsidRPr="00FB3FAC">
        <w:t>-</w:t>
      </w:r>
      <w:r w:rsidR="00DA61E1" w:rsidRPr="00FB3FAC">
        <w:t xml:space="preserve">performing loan and bank size </w:t>
      </w:r>
    </w:p>
    <w:p w14:paraId="700DC793" w14:textId="5BAE5620" w:rsidR="007D78E1" w:rsidRPr="003D4632" w:rsidRDefault="007D78E1" w:rsidP="00FB3FAC">
      <w:pPr>
        <w:spacing w:after="0" w:line="240" w:lineRule="auto"/>
        <w:rPr>
          <w:rFonts w:ascii="Times New Roman" w:hAnsi="Times New Roman" w:cs="Times New Roman"/>
          <w:b/>
          <w:bCs/>
          <w:sz w:val="24"/>
          <w:szCs w:val="24"/>
          <w:lang w:eastAsia="en-GB"/>
        </w:rPr>
      </w:pPr>
    </w:p>
    <w:p w14:paraId="208B65FC" w14:textId="77777777" w:rsidR="00582282" w:rsidRDefault="00582282" w:rsidP="00FB3FAC">
      <w:pPr>
        <w:spacing w:after="0" w:line="240" w:lineRule="auto"/>
        <w:rPr>
          <w:rFonts w:ascii="Times New Roman" w:hAnsi="Times New Roman" w:cs="Times New Roman"/>
          <w:b/>
          <w:bCs/>
          <w:sz w:val="24"/>
          <w:szCs w:val="24"/>
          <w:lang w:eastAsia="en-GB"/>
        </w:rPr>
      </w:pPr>
    </w:p>
    <w:p w14:paraId="3E1FD3BF" w14:textId="77777777" w:rsidR="00582282" w:rsidRDefault="00582282" w:rsidP="00FB3FAC">
      <w:pPr>
        <w:spacing w:after="0" w:line="240" w:lineRule="auto"/>
        <w:rPr>
          <w:rFonts w:ascii="Times New Roman" w:hAnsi="Times New Roman" w:cs="Times New Roman"/>
          <w:b/>
          <w:bCs/>
          <w:sz w:val="24"/>
          <w:szCs w:val="24"/>
          <w:lang w:eastAsia="en-GB"/>
        </w:rPr>
      </w:pPr>
    </w:p>
    <w:p w14:paraId="00B48DFF" w14:textId="77777777" w:rsidR="00FB3FAC" w:rsidRDefault="00FB3FAC" w:rsidP="00FB3FAC">
      <w:pPr>
        <w:spacing w:after="0" w:line="240" w:lineRule="auto"/>
        <w:rPr>
          <w:rFonts w:ascii="Times New Roman" w:hAnsi="Times New Roman" w:cs="Times New Roman"/>
          <w:b/>
          <w:bCs/>
          <w:sz w:val="24"/>
          <w:szCs w:val="24"/>
          <w:lang w:eastAsia="en-GB"/>
        </w:rPr>
      </w:pPr>
    </w:p>
    <w:p w14:paraId="7018CC97" w14:textId="77777777" w:rsidR="00FB3FAC" w:rsidRDefault="00FB3FAC" w:rsidP="00FB3FAC">
      <w:pPr>
        <w:spacing w:after="0" w:line="240" w:lineRule="auto"/>
        <w:rPr>
          <w:rFonts w:ascii="Times New Roman" w:hAnsi="Times New Roman" w:cs="Times New Roman"/>
          <w:b/>
          <w:bCs/>
          <w:sz w:val="24"/>
          <w:szCs w:val="24"/>
          <w:lang w:eastAsia="en-GB"/>
        </w:rPr>
      </w:pPr>
    </w:p>
    <w:p w14:paraId="4032E005" w14:textId="77777777" w:rsidR="00FB3FAC" w:rsidRDefault="00FB3FAC" w:rsidP="00FB3FAC">
      <w:pPr>
        <w:spacing w:after="0" w:line="240" w:lineRule="auto"/>
        <w:rPr>
          <w:rFonts w:ascii="Times New Roman" w:hAnsi="Times New Roman" w:cs="Times New Roman"/>
          <w:b/>
          <w:bCs/>
          <w:sz w:val="24"/>
          <w:szCs w:val="24"/>
          <w:lang w:eastAsia="en-GB"/>
        </w:rPr>
      </w:pPr>
    </w:p>
    <w:p w14:paraId="0E3FCE95" w14:textId="77777777" w:rsidR="00FB3FAC" w:rsidRDefault="00FB3FAC" w:rsidP="00FB3FAC">
      <w:pPr>
        <w:spacing w:after="0" w:line="240" w:lineRule="auto"/>
        <w:rPr>
          <w:rFonts w:ascii="Times New Roman" w:hAnsi="Times New Roman" w:cs="Times New Roman"/>
          <w:b/>
          <w:bCs/>
          <w:sz w:val="24"/>
          <w:szCs w:val="24"/>
          <w:lang w:eastAsia="en-GB"/>
        </w:rPr>
      </w:pPr>
    </w:p>
    <w:p w14:paraId="2A23A740" w14:textId="77777777" w:rsidR="00FB3FAC" w:rsidRDefault="00FB3FAC" w:rsidP="00FB3FAC">
      <w:pPr>
        <w:spacing w:after="0" w:line="240" w:lineRule="auto"/>
        <w:rPr>
          <w:rFonts w:ascii="Times New Roman" w:hAnsi="Times New Roman" w:cs="Times New Roman"/>
          <w:b/>
          <w:bCs/>
          <w:sz w:val="24"/>
          <w:szCs w:val="24"/>
          <w:lang w:eastAsia="en-GB"/>
        </w:rPr>
      </w:pPr>
    </w:p>
    <w:p w14:paraId="58F77E3B" w14:textId="77777777" w:rsidR="00FB3FAC" w:rsidRDefault="00FB3FAC" w:rsidP="00FB3FAC">
      <w:pPr>
        <w:spacing w:after="0" w:line="240" w:lineRule="auto"/>
        <w:rPr>
          <w:rFonts w:ascii="Times New Roman" w:hAnsi="Times New Roman" w:cs="Times New Roman"/>
          <w:b/>
          <w:bCs/>
          <w:sz w:val="24"/>
          <w:szCs w:val="24"/>
          <w:lang w:eastAsia="en-GB"/>
        </w:rPr>
      </w:pPr>
    </w:p>
    <w:p w14:paraId="605A440D" w14:textId="77777777" w:rsidR="00FB3FAC" w:rsidRDefault="00FB3FAC" w:rsidP="00FB3FAC">
      <w:pPr>
        <w:spacing w:after="0" w:line="240" w:lineRule="auto"/>
        <w:rPr>
          <w:rFonts w:ascii="Times New Roman" w:hAnsi="Times New Roman" w:cs="Times New Roman"/>
          <w:b/>
          <w:bCs/>
          <w:sz w:val="24"/>
          <w:szCs w:val="24"/>
          <w:lang w:eastAsia="en-GB"/>
        </w:rPr>
      </w:pPr>
    </w:p>
    <w:p w14:paraId="7625BDE5" w14:textId="5FFBF7B2" w:rsidR="00703714" w:rsidRPr="003D4632" w:rsidRDefault="00703714" w:rsidP="00FB3FAC">
      <w:pPr>
        <w:spacing w:after="0" w:line="240" w:lineRule="auto"/>
        <w:rPr>
          <w:rFonts w:ascii="Times New Roman" w:hAnsi="Times New Roman" w:cs="Times New Roman"/>
          <w:b/>
          <w:bCs/>
          <w:sz w:val="24"/>
          <w:szCs w:val="24"/>
          <w:lang w:eastAsia="en-GB"/>
        </w:rPr>
      </w:pPr>
      <w:r w:rsidRPr="003D4632">
        <w:rPr>
          <w:rFonts w:ascii="Times New Roman" w:hAnsi="Times New Roman" w:cs="Times New Roman"/>
          <w:b/>
          <w:bCs/>
          <w:sz w:val="24"/>
          <w:szCs w:val="24"/>
          <w:lang w:eastAsia="en-GB"/>
        </w:rPr>
        <w:lastRenderedPageBreak/>
        <w:t xml:space="preserve">Introduction </w:t>
      </w:r>
    </w:p>
    <w:p w14:paraId="51D7BBB5" w14:textId="1C32E57A" w:rsidR="00B24773" w:rsidRDefault="002B5146" w:rsidP="00FB3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ownership </w:t>
      </w:r>
      <w:r w:rsidR="00AF5CDE">
        <w:rPr>
          <w:rFonts w:ascii="Times New Roman" w:hAnsi="Times New Roman" w:cs="Times New Roman"/>
          <w:sz w:val="24"/>
          <w:szCs w:val="24"/>
        </w:rPr>
        <w:t xml:space="preserve">structure of every </w:t>
      </w:r>
      <w:proofErr w:type="spellStart"/>
      <w:r w:rsidR="00AF5CDE">
        <w:rPr>
          <w:rFonts w:ascii="Times New Roman" w:hAnsi="Times New Roman" w:cs="Times New Roman"/>
          <w:sz w:val="24"/>
          <w:szCs w:val="24"/>
        </w:rPr>
        <w:t>organisation</w:t>
      </w:r>
      <w:proofErr w:type="spellEnd"/>
      <w:r w:rsidR="00AF5CDE">
        <w:rPr>
          <w:rFonts w:ascii="Times New Roman" w:hAnsi="Times New Roman" w:cs="Times New Roman"/>
          <w:sz w:val="24"/>
          <w:szCs w:val="24"/>
        </w:rPr>
        <w:t xml:space="preserve"> is a strong determinant of </w:t>
      </w:r>
      <w:r>
        <w:rPr>
          <w:rFonts w:ascii="Times New Roman" w:hAnsi="Times New Roman" w:cs="Times New Roman"/>
          <w:sz w:val="24"/>
          <w:szCs w:val="24"/>
        </w:rPr>
        <w:t xml:space="preserve">the </w:t>
      </w:r>
      <w:r w:rsidR="00AF5CDE">
        <w:rPr>
          <w:rFonts w:ascii="Times New Roman" w:hAnsi="Times New Roman" w:cs="Times New Roman"/>
          <w:sz w:val="24"/>
          <w:szCs w:val="24"/>
        </w:rPr>
        <w:t xml:space="preserve">effective and efficient management of </w:t>
      </w:r>
      <w:proofErr w:type="spellStart"/>
      <w:r w:rsidR="00AF5CDE">
        <w:rPr>
          <w:rFonts w:ascii="Times New Roman" w:hAnsi="Times New Roman" w:cs="Times New Roman"/>
          <w:sz w:val="24"/>
          <w:szCs w:val="24"/>
        </w:rPr>
        <w:t>organisational</w:t>
      </w:r>
      <w:proofErr w:type="spellEnd"/>
      <w:r w:rsidR="00AF5CDE">
        <w:rPr>
          <w:rFonts w:ascii="Times New Roman" w:hAnsi="Times New Roman" w:cs="Times New Roman"/>
          <w:sz w:val="24"/>
          <w:szCs w:val="24"/>
        </w:rPr>
        <w:t xml:space="preserve"> resources, particularly with </w:t>
      </w:r>
      <w:r>
        <w:rPr>
          <w:rFonts w:ascii="Times New Roman" w:hAnsi="Times New Roman" w:cs="Times New Roman"/>
          <w:sz w:val="24"/>
          <w:szCs w:val="24"/>
        </w:rPr>
        <w:t xml:space="preserve">the </w:t>
      </w:r>
      <w:r w:rsidR="00AF5CDE">
        <w:rPr>
          <w:rFonts w:ascii="Times New Roman" w:hAnsi="Times New Roman" w:cs="Times New Roman"/>
          <w:sz w:val="24"/>
          <w:szCs w:val="24"/>
        </w:rPr>
        <w:t xml:space="preserve">separation of ownership from management. Consequent </w:t>
      </w:r>
      <w:proofErr w:type="spellStart"/>
      <w:r>
        <w:rPr>
          <w:rFonts w:ascii="Times New Roman" w:hAnsi="Times New Roman" w:cs="Times New Roman"/>
          <w:sz w:val="24"/>
          <w:szCs w:val="24"/>
        </w:rPr>
        <w:t>to</w:t>
      </w:r>
      <w:r w:rsidR="00AF5CDE">
        <w:rPr>
          <w:rFonts w:ascii="Times New Roman" w:hAnsi="Times New Roman" w:cs="Times New Roman"/>
          <w:sz w:val="24"/>
          <w:szCs w:val="24"/>
        </w:rPr>
        <w:t>this</w:t>
      </w:r>
      <w:proofErr w:type="spellEnd"/>
      <w:r w:rsidR="00AF5CDE">
        <w:rPr>
          <w:rFonts w:ascii="Times New Roman" w:hAnsi="Times New Roman" w:cs="Times New Roman"/>
          <w:sz w:val="24"/>
          <w:szCs w:val="24"/>
        </w:rPr>
        <w:t xml:space="preserve">, the study of ownership concentration is </w:t>
      </w:r>
      <w:r w:rsidR="00D124B6">
        <w:rPr>
          <w:rFonts w:ascii="Times New Roman" w:hAnsi="Times New Roman" w:cs="Times New Roman"/>
          <w:sz w:val="24"/>
          <w:szCs w:val="24"/>
        </w:rPr>
        <w:t xml:space="preserve">quite significant in the banking sector based on the great roles banks play in financial intermediation. </w:t>
      </w:r>
      <w:r>
        <w:rPr>
          <w:rFonts w:ascii="Times New Roman" w:hAnsi="Times New Roman" w:cs="Times New Roman"/>
          <w:sz w:val="24"/>
          <w:szCs w:val="24"/>
        </w:rPr>
        <w:t xml:space="preserve">The </w:t>
      </w:r>
      <w:r w:rsidR="00D124B6">
        <w:rPr>
          <w:rFonts w:ascii="Times New Roman" w:hAnsi="Times New Roman" w:cs="Times New Roman"/>
          <w:sz w:val="24"/>
          <w:szCs w:val="24"/>
        </w:rPr>
        <w:t xml:space="preserve">ownership structure is an integral part of corporate governance practice that is meant to strengthen the effective management of resources. This is necessary to spur management behaviour that ensures </w:t>
      </w:r>
      <w:r>
        <w:rPr>
          <w:rFonts w:ascii="Times New Roman" w:hAnsi="Times New Roman" w:cs="Times New Roman"/>
          <w:sz w:val="24"/>
          <w:szCs w:val="24"/>
        </w:rPr>
        <w:t xml:space="preserve">the </w:t>
      </w:r>
      <w:r w:rsidR="00D124B6">
        <w:rPr>
          <w:rFonts w:ascii="Times New Roman" w:hAnsi="Times New Roman" w:cs="Times New Roman"/>
          <w:sz w:val="24"/>
          <w:szCs w:val="24"/>
        </w:rPr>
        <w:t xml:space="preserve">proper protection of </w:t>
      </w:r>
      <w:r>
        <w:rPr>
          <w:rFonts w:ascii="Times New Roman" w:hAnsi="Times New Roman" w:cs="Times New Roman"/>
          <w:sz w:val="24"/>
          <w:szCs w:val="24"/>
        </w:rPr>
        <w:t xml:space="preserve">the </w:t>
      </w:r>
      <w:r w:rsidR="00D124B6">
        <w:rPr>
          <w:rFonts w:ascii="Times New Roman" w:hAnsi="Times New Roman" w:cs="Times New Roman"/>
          <w:sz w:val="24"/>
          <w:szCs w:val="24"/>
        </w:rPr>
        <w:t>interest of absentee owners and the managers b</w:t>
      </w:r>
      <w:r w:rsidR="00B24773">
        <w:rPr>
          <w:rFonts w:ascii="Times New Roman" w:hAnsi="Times New Roman" w:cs="Times New Roman"/>
          <w:sz w:val="24"/>
          <w:szCs w:val="24"/>
        </w:rPr>
        <w:t>y</w:t>
      </w:r>
      <w:r w:rsidR="00D124B6">
        <w:rPr>
          <w:rFonts w:ascii="Times New Roman" w:hAnsi="Times New Roman" w:cs="Times New Roman"/>
          <w:sz w:val="24"/>
          <w:szCs w:val="24"/>
        </w:rPr>
        <w:t xml:space="preserve"> ensuring strict compliance with corporate governance mechanisms such as ownership structure </w:t>
      </w:r>
      <w:r w:rsidR="00B24773">
        <w:rPr>
          <w:rFonts w:ascii="Times New Roman" w:hAnsi="Times New Roman" w:cs="Times New Roman"/>
          <w:sz w:val="24"/>
          <w:szCs w:val="24"/>
        </w:rPr>
        <w:t>(</w:t>
      </w:r>
      <w:proofErr w:type="spellStart"/>
      <w:r w:rsidR="00B24773">
        <w:rPr>
          <w:rFonts w:ascii="Times New Roman" w:hAnsi="Times New Roman" w:cs="Times New Roman"/>
          <w:sz w:val="24"/>
          <w:szCs w:val="24"/>
        </w:rPr>
        <w:t>Demaki</w:t>
      </w:r>
      <w:proofErr w:type="spellEnd"/>
      <w:r w:rsidR="00B24773">
        <w:rPr>
          <w:rFonts w:ascii="Times New Roman" w:hAnsi="Times New Roman" w:cs="Times New Roman"/>
          <w:sz w:val="24"/>
          <w:szCs w:val="24"/>
        </w:rPr>
        <w:t>, 2011).</w:t>
      </w:r>
    </w:p>
    <w:p w14:paraId="69AA219A" w14:textId="77777777" w:rsidR="00FB3FAC" w:rsidRDefault="00FB3FAC" w:rsidP="00FB3FAC">
      <w:pPr>
        <w:spacing w:after="0" w:line="360" w:lineRule="auto"/>
        <w:jc w:val="both"/>
        <w:rPr>
          <w:rFonts w:ascii="Times New Roman" w:hAnsi="Times New Roman" w:cs="Times New Roman"/>
          <w:sz w:val="24"/>
          <w:szCs w:val="24"/>
        </w:rPr>
      </w:pPr>
    </w:p>
    <w:p w14:paraId="45C92CAA" w14:textId="1EACE3C1" w:rsidR="00772FC6" w:rsidRPr="00781CDF" w:rsidRDefault="00B24773" w:rsidP="00FB3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w:t>
      </w:r>
      <w:r w:rsidR="00A01287" w:rsidRPr="003D4632">
        <w:rPr>
          <w:rFonts w:ascii="Times New Roman" w:hAnsi="Times New Roman" w:cs="Times New Roman"/>
          <w:sz w:val="24"/>
          <w:szCs w:val="24"/>
        </w:rPr>
        <w:t>deposit</w:t>
      </w:r>
      <w:r w:rsidR="001E7411" w:rsidRPr="003D4632">
        <w:rPr>
          <w:rFonts w:ascii="Times New Roman" w:hAnsi="Times New Roman" w:cs="Times New Roman"/>
          <w:sz w:val="24"/>
          <w:szCs w:val="24"/>
        </w:rPr>
        <w:t xml:space="preserve"> money banks play a significant role in mobilizing and allocating financial </w:t>
      </w:r>
      <w:r w:rsidR="00B0546B" w:rsidRPr="003D4632">
        <w:rPr>
          <w:rFonts w:ascii="Times New Roman" w:hAnsi="Times New Roman" w:cs="Times New Roman"/>
          <w:sz w:val="24"/>
          <w:szCs w:val="24"/>
        </w:rPr>
        <w:t>resources</w:t>
      </w:r>
      <w:r w:rsidR="00EA4346" w:rsidRPr="003D4632">
        <w:rPr>
          <w:rFonts w:ascii="Times New Roman" w:hAnsi="Times New Roman" w:cs="Times New Roman"/>
          <w:sz w:val="24"/>
          <w:szCs w:val="24"/>
        </w:rPr>
        <w:t xml:space="preserve"> </w:t>
      </w:r>
      <w:r w:rsidR="004440DA" w:rsidRPr="003D4632">
        <w:rPr>
          <w:rFonts w:ascii="Times New Roman" w:hAnsi="Times New Roman" w:cs="Times New Roman"/>
          <w:sz w:val="24"/>
          <w:szCs w:val="24"/>
        </w:rPr>
        <w:t>from the surplus to the deficit sector of the economy. Similarly, they provide loans and advances to different individuals, corporations and government agencies to invest and undertake various development activities to enhance their overall</w:t>
      </w:r>
      <w:r w:rsidR="00EA4346" w:rsidRPr="003D4632">
        <w:rPr>
          <w:rFonts w:ascii="Times New Roman" w:hAnsi="Times New Roman" w:cs="Times New Roman"/>
          <w:sz w:val="24"/>
          <w:szCs w:val="24"/>
        </w:rPr>
        <w:t xml:space="preserve"> growth</w:t>
      </w:r>
      <w:r w:rsidR="004440DA" w:rsidRPr="003D4632">
        <w:rPr>
          <w:rFonts w:ascii="Times New Roman" w:hAnsi="Times New Roman" w:cs="Times New Roman"/>
          <w:sz w:val="24"/>
          <w:szCs w:val="24"/>
        </w:rPr>
        <w:t xml:space="preserve"> (Hsu, </w:t>
      </w:r>
      <w:r w:rsidR="004440DA" w:rsidRPr="00582282">
        <w:rPr>
          <w:rFonts w:ascii="Times New Roman" w:hAnsi="Times New Roman" w:cs="Times New Roman"/>
          <w:i/>
          <w:sz w:val="24"/>
          <w:szCs w:val="24"/>
        </w:rPr>
        <w:t>et, al.</w:t>
      </w:r>
      <w:r w:rsidR="004440DA" w:rsidRPr="003D4632">
        <w:rPr>
          <w:rFonts w:ascii="Times New Roman" w:hAnsi="Times New Roman" w:cs="Times New Roman"/>
          <w:sz w:val="24"/>
          <w:szCs w:val="24"/>
        </w:rPr>
        <w:t xml:space="preserve">, 2015). Despite the vital role played by deposit money banks in economic development, they also encounter </w:t>
      </w:r>
      <w:r w:rsidR="002B5146">
        <w:rPr>
          <w:rFonts w:ascii="Times New Roman" w:hAnsi="Times New Roman" w:cs="Times New Roman"/>
          <w:sz w:val="24"/>
          <w:szCs w:val="24"/>
        </w:rPr>
        <w:t xml:space="preserve">the </w:t>
      </w:r>
      <w:r w:rsidR="004440DA" w:rsidRPr="003D4632">
        <w:rPr>
          <w:rFonts w:ascii="Times New Roman" w:hAnsi="Times New Roman" w:cs="Times New Roman"/>
          <w:sz w:val="24"/>
          <w:szCs w:val="24"/>
        </w:rPr>
        <w:t>tremendous challenge</w:t>
      </w:r>
      <w:r w:rsidR="0000442C" w:rsidRPr="003D4632">
        <w:rPr>
          <w:rFonts w:ascii="Times New Roman" w:hAnsi="Times New Roman" w:cs="Times New Roman"/>
          <w:sz w:val="24"/>
          <w:szCs w:val="24"/>
        </w:rPr>
        <w:t xml:space="preserve"> of non</w:t>
      </w:r>
      <w:r w:rsidR="002B5146">
        <w:rPr>
          <w:rFonts w:ascii="Times New Roman" w:hAnsi="Times New Roman" w:cs="Times New Roman"/>
          <w:sz w:val="24"/>
          <w:szCs w:val="24"/>
        </w:rPr>
        <w:t>-</w:t>
      </w:r>
      <w:r w:rsidR="0000442C" w:rsidRPr="003D4632">
        <w:rPr>
          <w:rFonts w:ascii="Times New Roman" w:hAnsi="Times New Roman" w:cs="Times New Roman"/>
          <w:sz w:val="24"/>
          <w:szCs w:val="24"/>
        </w:rPr>
        <w:t>performing loans in their operations. The emergence and accumulation of impaired credit</w:t>
      </w:r>
      <w:r w:rsidR="001B284A">
        <w:rPr>
          <w:rFonts w:ascii="Times New Roman" w:hAnsi="Times New Roman" w:cs="Times New Roman"/>
          <w:sz w:val="24"/>
          <w:szCs w:val="24"/>
        </w:rPr>
        <w:t xml:space="preserve"> will constitute a systematic problem </w:t>
      </w:r>
      <w:r w:rsidR="002B5146">
        <w:rPr>
          <w:rFonts w:ascii="Times New Roman" w:hAnsi="Times New Roman" w:cs="Times New Roman"/>
          <w:sz w:val="24"/>
          <w:szCs w:val="24"/>
        </w:rPr>
        <w:t xml:space="preserve">for </w:t>
      </w:r>
      <w:r w:rsidR="001B284A">
        <w:rPr>
          <w:rFonts w:ascii="Times New Roman" w:hAnsi="Times New Roman" w:cs="Times New Roman"/>
          <w:sz w:val="24"/>
          <w:szCs w:val="24"/>
        </w:rPr>
        <w:t>a considerable</w:t>
      </w:r>
      <w:r w:rsidR="009440D7">
        <w:rPr>
          <w:rFonts w:ascii="Times New Roman" w:hAnsi="Times New Roman" w:cs="Times New Roman"/>
          <w:sz w:val="24"/>
          <w:szCs w:val="24"/>
        </w:rPr>
        <w:t xml:space="preserve"> part</w:t>
      </w:r>
      <w:r w:rsidR="001B284A">
        <w:rPr>
          <w:rFonts w:ascii="Times New Roman" w:hAnsi="Times New Roman" w:cs="Times New Roman"/>
          <w:sz w:val="24"/>
          <w:szCs w:val="24"/>
        </w:rPr>
        <w:t xml:space="preserve"> of the financial system with consequent </w:t>
      </w:r>
      <w:r w:rsidR="0000442C" w:rsidRPr="003D4632">
        <w:rPr>
          <w:rFonts w:ascii="Times New Roman" w:hAnsi="Times New Roman" w:cs="Times New Roman"/>
          <w:sz w:val="24"/>
          <w:szCs w:val="24"/>
        </w:rPr>
        <w:t>threat</w:t>
      </w:r>
      <w:r w:rsidR="001B284A">
        <w:rPr>
          <w:rFonts w:ascii="Times New Roman" w:hAnsi="Times New Roman" w:cs="Times New Roman"/>
          <w:sz w:val="24"/>
          <w:szCs w:val="24"/>
        </w:rPr>
        <w:t xml:space="preserve"> </w:t>
      </w:r>
      <w:r w:rsidR="002B5146">
        <w:rPr>
          <w:rFonts w:ascii="Times New Roman" w:hAnsi="Times New Roman" w:cs="Times New Roman"/>
          <w:sz w:val="24"/>
          <w:szCs w:val="24"/>
        </w:rPr>
        <w:t>to</w:t>
      </w:r>
      <w:r w:rsidR="002B5146" w:rsidRPr="003D4632">
        <w:rPr>
          <w:rFonts w:ascii="Times New Roman" w:hAnsi="Times New Roman" w:cs="Times New Roman"/>
          <w:sz w:val="24"/>
          <w:szCs w:val="24"/>
        </w:rPr>
        <w:t xml:space="preserve"> </w:t>
      </w:r>
      <w:r w:rsidR="0000442C" w:rsidRPr="003D4632">
        <w:rPr>
          <w:rFonts w:ascii="Times New Roman" w:hAnsi="Times New Roman" w:cs="Times New Roman"/>
          <w:sz w:val="24"/>
          <w:szCs w:val="24"/>
        </w:rPr>
        <w:t>its stability and impairing its core financial intermediation function</w:t>
      </w:r>
      <w:r w:rsidR="001B284A">
        <w:rPr>
          <w:rFonts w:ascii="Times New Roman" w:hAnsi="Times New Roman" w:cs="Times New Roman"/>
          <w:sz w:val="24"/>
          <w:szCs w:val="24"/>
        </w:rPr>
        <w:t xml:space="preserve"> </w:t>
      </w:r>
      <w:r w:rsidR="001B284A">
        <w:rPr>
          <w:rFonts w:ascii="Times New Roman" w:hAnsi="Times New Roman" w:cs="Times New Roman"/>
          <w:sz w:val="24"/>
          <w:szCs w:val="24"/>
        </w:rPr>
        <w:softHyphen/>
      </w:r>
      <w:r w:rsidR="001B284A">
        <w:rPr>
          <w:rFonts w:ascii="Times New Roman" w:hAnsi="Times New Roman" w:cs="Times New Roman"/>
          <w:sz w:val="24"/>
          <w:szCs w:val="24"/>
        </w:rPr>
        <w:softHyphen/>
        <w:t>(</w:t>
      </w:r>
      <w:proofErr w:type="spellStart"/>
      <w:r w:rsidR="001B284A" w:rsidRPr="003D4632">
        <w:rPr>
          <w:rFonts w:ascii="Times New Roman" w:hAnsi="Times New Roman" w:cs="Times New Roman"/>
          <w:sz w:val="24"/>
          <w:szCs w:val="24"/>
        </w:rPr>
        <w:t>Kingu</w:t>
      </w:r>
      <w:proofErr w:type="spellEnd"/>
      <w:r w:rsidR="001B284A">
        <w:rPr>
          <w:rFonts w:ascii="Times New Roman" w:hAnsi="Times New Roman" w:cs="Times New Roman"/>
          <w:sz w:val="24"/>
          <w:szCs w:val="24"/>
        </w:rPr>
        <w:t xml:space="preserve">, </w:t>
      </w:r>
      <w:r w:rsidR="001B284A" w:rsidRPr="003D4632">
        <w:rPr>
          <w:rFonts w:ascii="Times New Roman" w:hAnsi="Times New Roman" w:cs="Times New Roman"/>
          <w:sz w:val="24"/>
          <w:szCs w:val="24"/>
        </w:rPr>
        <w:t>2018)</w:t>
      </w:r>
      <w:r w:rsidR="001B284A">
        <w:rPr>
          <w:rFonts w:ascii="Times New Roman" w:hAnsi="Times New Roman" w:cs="Times New Roman"/>
          <w:sz w:val="24"/>
          <w:szCs w:val="24"/>
        </w:rPr>
        <w:t>.</w:t>
      </w:r>
      <w:r w:rsidR="001B284A" w:rsidRPr="003D4632">
        <w:rPr>
          <w:rFonts w:ascii="Times New Roman" w:hAnsi="Times New Roman" w:cs="Times New Roman"/>
          <w:sz w:val="24"/>
          <w:szCs w:val="24"/>
        </w:rPr>
        <w:t xml:space="preserve">  </w:t>
      </w:r>
      <w:r w:rsidR="00781CDF">
        <w:rPr>
          <w:rFonts w:ascii="Times New Roman" w:hAnsi="Times New Roman" w:cs="Times New Roman"/>
          <w:sz w:val="24"/>
          <w:szCs w:val="24"/>
        </w:rPr>
        <w:t xml:space="preserve">In the view of Abdullatif, </w:t>
      </w:r>
      <w:r w:rsidR="00781CDF" w:rsidRPr="00FC617A">
        <w:rPr>
          <w:rFonts w:ascii="Times New Roman" w:hAnsi="Times New Roman" w:cs="Times New Roman"/>
          <w:i/>
          <w:sz w:val="24"/>
          <w:szCs w:val="24"/>
        </w:rPr>
        <w:t>et.</w:t>
      </w:r>
      <w:r w:rsidR="00CA02F0" w:rsidRPr="00FC617A">
        <w:rPr>
          <w:rFonts w:ascii="Times New Roman" w:hAnsi="Times New Roman" w:cs="Times New Roman"/>
          <w:i/>
          <w:sz w:val="24"/>
          <w:szCs w:val="24"/>
        </w:rPr>
        <w:t>al</w:t>
      </w:r>
      <w:r w:rsidR="00781CDF">
        <w:rPr>
          <w:rFonts w:ascii="Times New Roman" w:hAnsi="Times New Roman" w:cs="Times New Roman"/>
          <w:sz w:val="24"/>
          <w:szCs w:val="24"/>
        </w:rPr>
        <w:t xml:space="preserve">, (2014), due to information asymmetry, banks have the </w:t>
      </w:r>
      <w:r w:rsidR="002B5146">
        <w:rPr>
          <w:rFonts w:ascii="Times New Roman" w:hAnsi="Times New Roman" w:cs="Times New Roman"/>
          <w:sz w:val="24"/>
          <w:szCs w:val="24"/>
        </w:rPr>
        <w:t xml:space="preserve">tendency </w:t>
      </w:r>
      <w:r w:rsidR="00781CDF">
        <w:rPr>
          <w:rFonts w:ascii="Times New Roman" w:hAnsi="Times New Roman" w:cs="Times New Roman"/>
          <w:sz w:val="24"/>
          <w:szCs w:val="24"/>
        </w:rPr>
        <w:t>to adversely select high-risk borrowers because they appear to have the capacity to pay the high interest charges the bank require</w:t>
      </w:r>
      <w:r w:rsidR="006C587A">
        <w:rPr>
          <w:rFonts w:ascii="Times New Roman" w:hAnsi="Times New Roman" w:cs="Times New Roman"/>
          <w:sz w:val="24"/>
          <w:szCs w:val="24"/>
        </w:rPr>
        <w:t>s</w:t>
      </w:r>
      <w:r w:rsidR="00781CDF">
        <w:rPr>
          <w:rFonts w:ascii="Times New Roman" w:hAnsi="Times New Roman" w:cs="Times New Roman"/>
          <w:sz w:val="24"/>
          <w:szCs w:val="24"/>
        </w:rPr>
        <w:t>.</w:t>
      </w:r>
    </w:p>
    <w:p w14:paraId="39E6539E" w14:textId="77777777" w:rsidR="00B35F36" w:rsidRDefault="00B35F36" w:rsidP="00FB3FAC">
      <w:pPr>
        <w:spacing w:after="0" w:line="360" w:lineRule="auto"/>
        <w:jc w:val="both"/>
        <w:rPr>
          <w:rFonts w:ascii="Times New Roman" w:hAnsi="Times New Roman" w:cs="Times New Roman"/>
          <w:sz w:val="24"/>
          <w:szCs w:val="24"/>
        </w:rPr>
      </w:pPr>
    </w:p>
    <w:p w14:paraId="11FB1CF7" w14:textId="5EFD63B1" w:rsidR="00703714" w:rsidRPr="003D4632" w:rsidRDefault="00772FC6"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sz w:val="24"/>
          <w:szCs w:val="24"/>
        </w:rPr>
        <w:t xml:space="preserve">Non-performing loans may be associated with higher funding costs and </w:t>
      </w:r>
      <w:r w:rsidR="003C2196">
        <w:rPr>
          <w:rFonts w:ascii="Times New Roman" w:hAnsi="Times New Roman" w:cs="Times New Roman"/>
          <w:sz w:val="24"/>
          <w:szCs w:val="24"/>
        </w:rPr>
        <w:t xml:space="preserve">a </w:t>
      </w:r>
      <w:r w:rsidRPr="003D4632">
        <w:rPr>
          <w:rFonts w:ascii="Times New Roman" w:hAnsi="Times New Roman" w:cs="Times New Roman"/>
          <w:sz w:val="24"/>
          <w:szCs w:val="24"/>
        </w:rPr>
        <w:t xml:space="preserve">lower supply of credit to other investors and the real economy. </w:t>
      </w:r>
      <w:r w:rsidR="00E30ED6" w:rsidRPr="003D4632">
        <w:rPr>
          <w:rFonts w:ascii="Times New Roman" w:hAnsi="Times New Roman" w:cs="Times New Roman"/>
          <w:sz w:val="24"/>
          <w:szCs w:val="24"/>
        </w:rPr>
        <w:t>Similarly</w:t>
      </w:r>
      <w:r w:rsidRPr="003D4632">
        <w:rPr>
          <w:rFonts w:ascii="Times New Roman" w:hAnsi="Times New Roman" w:cs="Times New Roman"/>
          <w:sz w:val="24"/>
          <w:szCs w:val="24"/>
        </w:rPr>
        <w:t xml:space="preserve">, the occurrence </w:t>
      </w:r>
      <w:r w:rsidR="008804B5" w:rsidRPr="003D4632">
        <w:rPr>
          <w:rFonts w:ascii="Times New Roman" w:hAnsi="Times New Roman" w:cs="Times New Roman"/>
          <w:sz w:val="24"/>
          <w:szCs w:val="24"/>
        </w:rPr>
        <w:t>of</w:t>
      </w:r>
      <w:r w:rsidR="004440DA" w:rsidRPr="003D4632">
        <w:rPr>
          <w:rFonts w:ascii="Times New Roman" w:hAnsi="Times New Roman" w:cs="Times New Roman"/>
          <w:sz w:val="24"/>
          <w:szCs w:val="24"/>
        </w:rPr>
        <w:t xml:space="preserve"> </w:t>
      </w:r>
      <w:r w:rsidR="00E20D12" w:rsidRPr="003D4632">
        <w:rPr>
          <w:rFonts w:ascii="Times New Roman" w:hAnsi="Times New Roman" w:cs="Times New Roman"/>
          <w:sz w:val="24"/>
          <w:szCs w:val="24"/>
        </w:rPr>
        <w:t xml:space="preserve">Agency problems </w:t>
      </w:r>
      <w:proofErr w:type="gramStart"/>
      <w:r w:rsidR="008804B5" w:rsidRPr="003D4632">
        <w:rPr>
          <w:rFonts w:ascii="Times New Roman" w:hAnsi="Times New Roman" w:cs="Times New Roman"/>
          <w:sz w:val="24"/>
          <w:szCs w:val="24"/>
        </w:rPr>
        <w:t>differ</w:t>
      </w:r>
      <w:proofErr w:type="gramEnd"/>
      <w:r w:rsidR="00E20D12" w:rsidRPr="003D4632">
        <w:rPr>
          <w:rFonts w:ascii="Times New Roman" w:hAnsi="Times New Roman" w:cs="Times New Roman"/>
          <w:sz w:val="24"/>
          <w:szCs w:val="24"/>
        </w:rPr>
        <w:t xml:space="preserve"> according to the volume of ownership and the type of firm owners. In the case of the dispersion of company ownership, classic agency problems (type I) exist between shareholders and managers due to the clear separation between ownership and management. </w:t>
      </w:r>
      <w:r w:rsidR="008804B5" w:rsidRPr="003D4632">
        <w:rPr>
          <w:rFonts w:ascii="Times New Roman" w:hAnsi="Times New Roman" w:cs="Times New Roman"/>
          <w:sz w:val="24"/>
          <w:szCs w:val="24"/>
        </w:rPr>
        <w:t>Conversely</w:t>
      </w:r>
      <w:r w:rsidR="00E20D12" w:rsidRPr="003D4632">
        <w:rPr>
          <w:rFonts w:ascii="Times New Roman" w:hAnsi="Times New Roman" w:cs="Times New Roman"/>
          <w:sz w:val="24"/>
          <w:szCs w:val="24"/>
        </w:rPr>
        <w:t>, agency problems (type II) are common in firms with high</w:t>
      </w:r>
      <w:r w:rsidR="003C2196">
        <w:rPr>
          <w:rFonts w:ascii="Times New Roman" w:hAnsi="Times New Roman" w:cs="Times New Roman"/>
          <w:sz w:val="24"/>
          <w:szCs w:val="24"/>
        </w:rPr>
        <w:t>ly</w:t>
      </w:r>
      <w:r w:rsidR="00E20D12" w:rsidRPr="003D4632">
        <w:rPr>
          <w:rFonts w:ascii="Times New Roman" w:hAnsi="Times New Roman" w:cs="Times New Roman"/>
          <w:sz w:val="24"/>
          <w:szCs w:val="24"/>
        </w:rPr>
        <w:t xml:space="preserve"> concentrated ownership</w:t>
      </w:r>
      <w:r w:rsidR="008804B5" w:rsidRPr="003D4632">
        <w:rPr>
          <w:rFonts w:ascii="Times New Roman" w:hAnsi="Times New Roman" w:cs="Times New Roman"/>
          <w:sz w:val="24"/>
          <w:szCs w:val="24"/>
        </w:rPr>
        <w:t xml:space="preserve"> that</w:t>
      </w:r>
      <w:r w:rsidR="00E20D12" w:rsidRPr="003D4632">
        <w:rPr>
          <w:rFonts w:ascii="Times New Roman" w:hAnsi="Times New Roman" w:cs="Times New Roman"/>
          <w:sz w:val="24"/>
          <w:szCs w:val="24"/>
        </w:rPr>
        <w:t xml:space="preserve"> exist</w:t>
      </w:r>
      <w:r w:rsidR="006D1FD4" w:rsidRPr="003D4632">
        <w:rPr>
          <w:rFonts w:ascii="Times New Roman" w:hAnsi="Times New Roman" w:cs="Times New Roman"/>
          <w:sz w:val="24"/>
          <w:szCs w:val="24"/>
        </w:rPr>
        <w:t>s</w:t>
      </w:r>
      <w:r w:rsidR="00E20D12" w:rsidRPr="003D4632">
        <w:rPr>
          <w:rFonts w:ascii="Times New Roman" w:hAnsi="Times New Roman" w:cs="Times New Roman"/>
          <w:sz w:val="24"/>
          <w:szCs w:val="24"/>
        </w:rPr>
        <w:t xml:space="preserve"> between the majority ownership and minority ownership</w:t>
      </w:r>
      <w:r w:rsidR="008804B5" w:rsidRPr="003D4632">
        <w:rPr>
          <w:rFonts w:ascii="Times New Roman" w:hAnsi="Times New Roman" w:cs="Times New Roman"/>
          <w:sz w:val="24"/>
          <w:szCs w:val="24"/>
        </w:rPr>
        <w:t xml:space="preserve"> due to</w:t>
      </w:r>
      <w:r w:rsidR="00E20D12" w:rsidRPr="003D4632">
        <w:rPr>
          <w:rFonts w:ascii="Times New Roman" w:hAnsi="Times New Roman" w:cs="Times New Roman"/>
          <w:sz w:val="24"/>
          <w:szCs w:val="24"/>
        </w:rPr>
        <w:t xml:space="preserve"> unclear separation between the controlling shareholders and management</w:t>
      </w:r>
      <w:r w:rsidR="00E21ACC" w:rsidRPr="003D4632">
        <w:rPr>
          <w:rFonts w:ascii="Times New Roman" w:hAnsi="Times New Roman" w:cs="Times New Roman"/>
          <w:sz w:val="24"/>
          <w:szCs w:val="24"/>
        </w:rPr>
        <w:t xml:space="preserve"> which invariably affect</w:t>
      </w:r>
      <w:r w:rsidR="003C2196">
        <w:rPr>
          <w:rFonts w:ascii="Times New Roman" w:hAnsi="Times New Roman" w:cs="Times New Roman"/>
          <w:sz w:val="24"/>
          <w:szCs w:val="24"/>
        </w:rPr>
        <w:t>s</w:t>
      </w:r>
      <w:r w:rsidR="00E21ACC" w:rsidRPr="003D4632">
        <w:rPr>
          <w:rFonts w:ascii="Times New Roman" w:hAnsi="Times New Roman" w:cs="Times New Roman"/>
          <w:sz w:val="24"/>
          <w:szCs w:val="24"/>
        </w:rPr>
        <w:t xml:space="preserve"> the non</w:t>
      </w:r>
      <w:r w:rsidR="00F571CC" w:rsidRPr="003D4632">
        <w:rPr>
          <w:rFonts w:ascii="Times New Roman" w:hAnsi="Times New Roman" w:cs="Times New Roman"/>
          <w:sz w:val="24"/>
          <w:szCs w:val="24"/>
        </w:rPr>
        <w:t>-</w:t>
      </w:r>
      <w:r w:rsidR="00E21ACC" w:rsidRPr="003D4632">
        <w:rPr>
          <w:rFonts w:ascii="Times New Roman" w:hAnsi="Times New Roman" w:cs="Times New Roman"/>
          <w:sz w:val="24"/>
          <w:szCs w:val="24"/>
        </w:rPr>
        <w:t>performing loan of an organization</w:t>
      </w:r>
      <w:r w:rsidR="00EA02D5" w:rsidRPr="003D4632">
        <w:rPr>
          <w:rFonts w:ascii="Times New Roman" w:hAnsi="Times New Roman" w:cs="Times New Roman"/>
          <w:sz w:val="24"/>
          <w:szCs w:val="24"/>
        </w:rPr>
        <w:t xml:space="preserve"> (</w:t>
      </w:r>
      <w:r w:rsidR="00244D06">
        <w:rPr>
          <w:rFonts w:ascii="Times New Roman" w:hAnsi="Times New Roman" w:cs="Times New Roman"/>
          <w:sz w:val="24"/>
          <w:szCs w:val="24"/>
        </w:rPr>
        <w:t>Fawad</w:t>
      </w:r>
      <w:r w:rsidR="00EA02D5" w:rsidRPr="003D4632">
        <w:rPr>
          <w:rFonts w:ascii="Times New Roman" w:hAnsi="Times New Roman" w:cs="Times New Roman"/>
          <w:sz w:val="24"/>
          <w:szCs w:val="24"/>
        </w:rPr>
        <w:t>, 201</w:t>
      </w:r>
      <w:r w:rsidR="00244D06">
        <w:rPr>
          <w:rFonts w:ascii="Times New Roman" w:hAnsi="Times New Roman" w:cs="Times New Roman"/>
          <w:sz w:val="24"/>
          <w:szCs w:val="24"/>
        </w:rPr>
        <w:t>3</w:t>
      </w:r>
      <w:r w:rsidR="00EA02D5" w:rsidRPr="003D4632">
        <w:rPr>
          <w:rFonts w:ascii="Times New Roman" w:hAnsi="Times New Roman" w:cs="Times New Roman"/>
          <w:sz w:val="24"/>
          <w:szCs w:val="24"/>
        </w:rPr>
        <w:t>)</w:t>
      </w:r>
      <w:r w:rsidR="00E20D12" w:rsidRPr="003D4632">
        <w:rPr>
          <w:rFonts w:ascii="Times New Roman" w:hAnsi="Times New Roman" w:cs="Times New Roman"/>
          <w:sz w:val="24"/>
          <w:szCs w:val="24"/>
        </w:rPr>
        <w:t>.</w:t>
      </w:r>
    </w:p>
    <w:p w14:paraId="5154F069" w14:textId="6CD0C2EB" w:rsidR="00A81C4B" w:rsidRDefault="003F25A9"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bCs/>
          <w:sz w:val="24"/>
          <w:szCs w:val="24"/>
          <w:lang w:eastAsia="en-GB"/>
        </w:rPr>
        <w:lastRenderedPageBreak/>
        <w:t>Jiang (2015) observed that a typical feature of own</w:t>
      </w:r>
      <w:r w:rsidR="006B2440" w:rsidRPr="003D4632">
        <w:rPr>
          <w:rFonts w:ascii="Times New Roman" w:hAnsi="Times New Roman" w:cs="Times New Roman"/>
          <w:bCs/>
          <w:sz w:val="24"/>
          <w:szCs w:val="24"/>
          <w:lang w:eastAsia="en-GB"/>
        </w:rPr>
        <w:t>ership structure in modern corporate governance is the separation of company ownership and management. There are different types of ownership structure</w:t>
      </w:r>
      <w:r w:rsidR="003C2196">
        <w:rPr>
          <w:rFonts w:ascii="Times New Roman" w:hAnsi="Times New Roman" w:cs="Times New Roman"/>
          <w:bCs/>
          <w:sz w:val="24"/>
          <w:szCs w:val="24"/>
          <w:lang w:eastAsia="en-GB"/>
        </w:rPr>
        <w:t>s</w:t>
      </w:r>
      <w:r w:rsidR="006B2440" w:rsidRPr="003D4632">
        <w:rPr>
          <w:rFonts w:ascii="Times New Roman" w:hAnsi="Times New Roman" w:cs="Times New Roman"/>
          <w:bCs/>
          <w:sz w:val="24"/>
          <w:szCs w:val="24"/>
          <w:lang w:eastAsia="en-GB"/>
        </w:rPr>
        <w:t xml:space="preserve"> which include government ownership, foreign ownership, institutional ownership and local ownership structure (Qui, 2012).</w:t>
      </w:r>
      <w:r w:rsidR="00EA4346" w:rsidRPr="003D4632">
        <w:rPr>
          <w:rFonts w:ascii="Times New Roman" w:hAnsi="Times New Roman" w:cs="Times New Roman"/>
          <w:bCs/>
          <w:sz w:val="24"/>
          <w:szCs w:val="24"/>
          <w:lang w:eastAsia="en-GB"/>
        </w:rPr>
        <w:t xml:space="preserve"> </w:t>
      </w:r>
      <w:r w:rsidR="003C2196">
        <w:rPr>
          <w:rFonts w:ascii="Times New Roman" w:hAnsi="Times New Roman" w:cs="Times New Roman"/>
          <w:bCs/>
          <w:sz w:val="24"/>
          <w:szCs w:val="24"/>
          <w:lang w:eastAsia="en-GB"/>
        </w:rPr>
        <w:t>L</w:t>
      </w:r>
      <w:r w:rsidR="00EA4346" w:rsidRPr="003D4632">
        <w:rPr>
          <w:rFonts w:ascii="Times New Roman" w:hAnsi="Times New Roman" w:cs="Times New Roman"/>
          <w:bCs/>
          <w:sz w:val="24"/>
          <w:szCs w:val="24"/>
          <w:lang w:eastAsia="en-GB"/>
        </w:rPr>
        <w:t>ocal ownership structure affects banks’ performance indicators in the area of non</w:t>
      </w:r>
      <w:r w:rsidR="003C2196">
        <w:rPr>
          <w:rFonts w:ascii="Times New Roman" w:hAnsi="Times New Roman" w:cs="Times New Roman"/>
          <w:bCs/>
          <w:sz w:val="24"/>
          <w:szCs w:val="24"/>
          <w:lang w:eastAsia="en-GB"/>
        </w:rPr>
        <w:t>-</w:t>
      </w:r>
      <w:r w:rsidR="00EA4346" w:rsidRPr="003D4632">
        <w:rPr>
          <w:rFonts w:ascii="Times New Roman" w:hAnsi="Times New Roman" w:cs="Times New Roman"/>
          <w:bCs/>
          <w:sz w:val="24"/>
          <w:szCs w:val="24"/>
          <w:lang w:eastAsia="en-GB"/>
        </w:rPr>
        <w:t xml:space="preserve">performing loans, which signifies the existence of some other </w:t>
      </w:r>
      <w:r w:rsidR="00055636">
        <w:rPr>
          <w:rFonts w:ascii="Times New Roman" w:hAnsi="Times New Roman" w:cs="Times New Roman"/>
          <w:bCs/>
          <w:sz w:val="24"/>
          <w:szCs w:val="24"/>
          <w:lang w:eastAsia="en-GB"/>
        </w:rPr>
        <w:t xml:space="preserve">factors </w:t>
      </w:r>
      <w:r w:rsidR="00EA4346" w:rsidRPr="003D4632">
        <w:rPr>
          <w:rFonts w:ascii="Times New Roman" w:hAnsi="Times New Roman" w:cs="Times New Roman"/>
          <w:bCs/>
          <w:sz w:val="24"/>
          <w:szCs w:val="24"/>
          <w:lang w:eastAsia="en-GB"/>
        </w:rPr>
        <w:t xml:space="preserve">affecting </w:t>
      </w:r>
      <w:r w:rsidR="00F02B81" w:rsidRPr="003D4632">
        <w:rPr>
          <w:rFonts w:ascii="Times New Roman" w:hAnsi="Times New Roman" w:cs="Times New Roman"/>
          <w:bCs/>
          <w:sz w:val="24"/>
          <w:szCs w:val="24"/>
          <w:lang w:eastAsia="en-GB"/>
        </w:rPr>
        <w:t xml:space="preserve">the firm’s performance other than ownership structure. </w:t>
      </w:r>
      <w:r w:rsidR="001670EE">
        <w:rPr>
          <w:rFonts w:ascii="Times New Roman" w:hAnsi="Times New Roman" w:cs="Times New Roman"/>
          <w:bCs/>
          <w:sz w:val="24"/>
          <w:szCs w:val="24"/>
          <w:lang w:eastAsia="en-GB"/>
        </w:rPr>
        <w:t>In a related study,</w:t>
      </w:r>
      <w:r w:rsidR="00F02B81" w:rsidRPr="003D4632">
        <w:rPr>
          <w:rFonts w:ascii="Times New Roman" w:hAnsi="Times New Roman" w:cs="Times New Roman"/>
          <w:bCs/>
          <w:sz w:val="24"/>
          <w:szCs w:val="24"/>
          <w:lang w:eastAsia="en-GB"/>
        </w:rPr>
        <w:t xml:space="preserve"> </w:t>
      </w:r>
      <w:r w:rsidR="00B70AD8">
        <w:rPr>
          <w:rFonts w:ascii="Times New Roman" w:hAnsi="Times New Roman" w:cs="Times New Roman"/>
          <w:bCs/>
          <w:sz w:val="24"/>
          <w:szCs w:val="24"/>
          <w:lang w:eastAsia="en-GB"/>
        </w:rPr>
        <w:t xml:space="preserve">Antoniadis, et, al. </w:t>
      </w:r>
      <w:r w:rsidR="00F02B81" w:rsidRPr="003D4632">
        <w:rPr>
          <w:rFonts w:ascii="Times New Roman" w:hAnsi="Times New Roman" w:cs="Times New Roman"/>
          <w:bCs/>
          <w:sz w:val="24"/>
          <w:szCs w:val="24"/>
          <w:lang w:eastAsia="en-GB"/>
        </w:rPr>
        <w:t>(201</w:t>
      </w:r>
      <w:r w:rsidR="00B70AD8">
        <w:rPr>
          <w:rFonts w:ascii="Times New Roman" w:hAnsi="Times New Roman" w:cs="Times New Roman"/>
          <w:bCs/>
          <w:sz w:val="24"/>
          <w:szCs w:val="24"/>
          <w:lang w:eastAsia="en-GB"/>
        </w:rPr>
        <w:t>0</w:t>
      </w:r>
      <w:r w:rsidR="00F02B81" w:rsidRPr="003D4632">
        <w:rPr>
          <w:rFonts w:ascii="Times New Roman" w:hAnsi="Times New Roman" w:cs="Times New Roman"/>
          <w:bCs/>
          <w:sz w:val="24"/>
          <w:szCs w:val="24"/>
          <w:lang w:eastAsia="en-GB"/>
        </w:rPr>
        <w:t xml:space="preserve">) observed that higher local ownership concentration translates to lower profitability in deposit banks based on the volume of bad </w:t>
      </w:r>
      <w:r w:rsidR="0000607F" w:rsidRPr="003D4632">
        <w:rPr>
          <w:rFonts w:ascii="Times New Roman" w:hAnsi="Times New Roman" w:cs="Times New Roman"/>
          <w:bCs/>
          <w:sz w:val="24"/>
          <w:szCs w:val="24"/>
          <w:lang w:eastAsia="en-GB"/>
        </w:rPr>
        <w:t>credit.</w:t>
      </w:r>
      <w:r w:rsidR="007B68AF" w:rsidRPr="003D4632">
        <w:rPr>
          <w:rFonts w:ascii="Times New Roman" w:hAnsi="Times New Roman" w:cs="Times New Roman"/>
          <w:bCs/>
          <w:sz w:val="24"/>
          <w:szCs w:val="24"/>
          <w:lang w:eastAsia="en-GB"/>
        </w:rPr>
        <w:t xml:space="preserve"> That is,</w:t>
      </w:r>
      <w:r w:rsidR="00A32282" w:rsidRPr="003D4632">
        <w:rPr>
          <w:rFonts w:ascii="Times New Roman" w:hAnsi="Times New Roman" w:cs="Times New Roman"/>
          <w:sz w:val="24"/>
          <w:szCs w:val="24"/>
        </w:rPr>
        <w:t xml:space="preserve"> Concentrated ownership is an intimate way of governance</w:t>
      </w:r>
      <w:r w:rsidR="00E21ACC" w:rsidRPr="003D4632">
        <w:rPr>
          <w:rFonts w:ascii="Times New Roman" w:hAnsi="Times New Roman" w:cs="Times New Roman"/>
          <w:sz w:val="24"/>
          <w:szCs w:val="24"/>
        </w:rPr>
        <w:t xml:space="preserve"> that ensure </w:t>
      </w:r>
      <w:r w:rsidR="003C2196">
        <w:rPr>
          <w:rFonts w:ascii="Times New Roman" w:hAnsi="Times New Roman" w:cs="Times New Roman"/>
          <w:sz w:val="24"/>
          <w:szCs w:val="24"/>
        </w:rPr>
        <w:t xml:space="preserve">the </w:t>
      </w:r>
      <w:r w:rsidR="00E21ACC" w:rsidRPr="003D4632">
        <w:rPr>
          <w:rFonts w:ascii="Times New Roman" w:hAnsi="Times New Roman" w:cs="Times New Roman"/>
          <w:sz w:val="24"/>
          <w:szCs w:val="24"/>
        </w:rPr>
        <w:t xml:space="preserve">effective non-performing loan. </w:t>
      </w:r>
      <w:bookmarkStart w:id="1" w:name="_Hlk92248020"/>
      <w:r w:rsidR="00FB3FAC">
        <w:rPr>
          <w:rFonts w:ascii="Times New Roman" w:hAnsi="Times New Roman" w:cs="Times New Roman"/>
          <w:bCs/>
          <w:sz w:val="24"/>
          <w:szCs w:val="24"/>
          <w:lang w:eastAsia="en-GB"/>
        </w:rPr>
        <w:t xml:space="preserve"> </w:t>
      </w:r>
      <w:r w:rsidR="00A81C4B" w:rsidRPr="003D4632">
        <w:rPr>
          <w:rFonts w:ascii="Times New Roman" w:hAnsi="Times New Roman" w:cs="Times New Roman"/>
          <w:sz w:val="24"/>
          <w:szCs w:val="24"/>
        </w:rPr>
        <w:t>Measures to limit the growth of bad loans are usually stipulated in policies that express the banks’ credit risk management philosophy and the parameters within which credit risk is controlled. However, ownership concentration constitute</w:t>
      </w:r>
      <w:r w:rsidR="00C617FB" w:rsidRPr="003D4632">
        <w:rPr>
          <w:rFonts w:ascii="Times New Roman" w:hAnsi="Times New Roman" w:cs="Times New Roman"/>
          <w:sz w:val="24"/>
          <w:szCs w:val="24"/>
        </w:rPr>
        <w:t>s</w:t>
      </w:r>
      <w:r w:rsidR="00A81C4B" w:rsidRPr="003D4632">
        <w:rPr>
          <w:rFonts w:ascii="Times New Roman" w:hAnsi="Times New Roman" w:cs="Times New Roman"/>
          <w:sz w:val="24"/>
          <w:szCs w:val="24"/>
        </w:rPr>
        <w:t xml:space="preserve"> the group of microeconomic variables that show the effect of commercial banks’ operational characteristics, management capacity, and features on credit risk in business firms</w:t>
      </w:r>
      <w:r w:rsidR="006D2073" w:rsidRPr="003D4632">
        <w:rPr>
          <w:rFonts w:ascii="Times New Roman" w:hAnsi="Times New Roman" w:cs="Times New Roman"/>
          <w:sz w:val="24"/>
          <w:szCs w:val="24"/>
        </w:rPr>
        <w:t xml:space="preserve"> (Sunday, </w:t>
      </w:r>
      <w:r w:rsidR="006D2073" w:rsidRPr="008B6DFC">
        <w:rPr>
          <w:rFonts w:ascii="Times New Roman" w:hAnsi="Times New Roman" w:cs="Times New Roman"/>
          <w:i/>
          <w:sz w:val="24"/>
          <w:szCs w:val="24"/>
        </w:rPr>
        <w:t>et. al</w:t>
      </w:r>
      <w:r w:rsidR="006D2073" w:rsidRPr="003D4632">
        <w:rPr>
          <w:rFonts w:ascii="Times New Roman" w:hAnsi="Times New Roman" w:cs="Times New Roman"/>
          <w:sz w:val="24"/>
          <w:szCs w:val="24"/>
        </w:rPr>
        <w:t>., 2020).</w:t>
      </w:r>
    </w:p>
    <w:p w14:paraId="1FD2A92F" w14:textId="77777777" w:rsidR="00FB3FAC" w:rsidRPr="00FB3FAC" w:rsidRDefault="00FB3FAC" w:rsidP="00FB3FAC">
      <w:pPr>
        <w:spacing w:after="0" w:line="360" w:lineRule="auto"/>
        <w:jc w:val="both"/>
        <w:rPr>
          <w:rFonts w:ascii="Times New Roman" w:hAnsi="Times New Roman" w:cs="Times New Roman"/>
          <w:bCs/>
          <w:sz w:val="24"/>
          <w:szCs w:val="24"/>
          <w:lang w:eastAsia="en-GB"/>
        </w:rPr>
      </w:pPr>
    </w:p>
    <w:p w14:paraId="3852470D" w14:textId="66A94306" w:rsidR="007645CF" w:rsidRDefault="00AC3EDB" w:rsidP="00FB3FAC">
      <w:pPr>
        <w:spacing w:after="0" w:line="360" w:lineRule="auto"/>
        <w:ind w:right="14"/>
        <w:jc w:val="both"/>
        <w:rPr>
          <w:rFonts w:ascii="Times New Roman" w:hAnsi="Times New Roman" w:cs="Times New Roman"/>
          <w:sz w:val="24"/>
          <w:szCs w:val="24"/>
          <w:lang w:val="en-GB"/>
        </w:rPr>
      </w:pPr>
      <w:r w:rsidRPr="003D4632">
        <w:rPr>
          <w:rFonts w:ascii="Times New Roman" w:hAnsi="Times New Roman" w:cs="Times New Roman"/>
          <w:sz w:val="24"/>
          <w:szCs w:val="24"/>
          <w:lang w:val="en-GB"/>
        </w:rPr>
        <w:t>Generally</w:t>
      </w:r>
      <w:r w:rsidR="00EB0B09" w:rsidRPr="003D4632">
        <w:rPr>
          <w:rFonts w:ascii="Times New Roman" w:hAnsi="Times New Roman" w:cs="Times New Roman"/>
          <w:sz w:val="24"/>
          <w:szCs w:val="24"/>
          <w:lang w:val="en-GB"/>
        </w:rPr>
        <w:t xml:space="preserve">, unpaid loan accumulates debt which affects banks negatively in their operations as well as the general economy. Furthermore, Non-performing loans not only lowers profitability and creates serious liquidity problems with large-scale economic catastrophe but also diminishes cash flow and the available capital needed to advance new credit to other borrowers (Umar &amp; Sun, 2016; Zeng, 2012). </w:t>
      </w:r>
      <w:r w:rsidR="000A6A49" w:rsidRPr="003D4632">
        <w:rPr>
          <w:rFonts w:ascii="Times New Roman" w:hAnsi="Times New Roman" w:cs="Times New Roman"/>
          <w:sz w:val="24"/>
          <w:szCs w:val="24"/>
          <w:lang w:val="en-GB"/>
        </w:rPr>
        <w:t>Even though</w:t>
      </w:r>
      <w:r w:rsidR="00EB0B09" w:rsidRPr="003D4632">
        <w:rPr>
          <w:rFonts w:ascii="Times New Roman" w:hAnsi="Times New Roman" w:cs="Times New Roman"/>
          <w:sz w:val="24"/>
          <w:szCs w:val="24"/>
          <w:lang w:val="en-GB"/>
        </w:rPr>
        <w:t xml:space="preserve"> deposit money banks in Nigeria have </w:t>
      </w:r>
      <w:r w:rsidR="000A6A49" w:rsidRPr="003D4632">
        <w:rPr>
          <w:rFonts w:ascii="Times New Roman" w:hAnsi="Times New Roman" w:cs="Times New Roman"/>
          <w:sz w:val="24"/>
          <w:szCs w:val="24"/>
          <w:lang w:val="en-GB"/>
        </w:rPr>
        <w:t xml:space="preserve">been </w:t>
      </w:r>
      <w:r w:rsidR="00EB0B09" w:rsidRPr="003D4632">
        <w:rPr>
          <w:rFonts w:ascii="Times New Roman" w:hAnsi="Times New Roman" w:cs="Times New Roman"/>
          <w:sz w:val="24"/>
          <w:szCs w:val="24"/>
          <w:lang w:val="en-GB"/>
        </w:rPr>
        <w:t>adopt</w:t>
      </w:r>
      <w:r w:rsidR="000A6A49" w:rsidRPr="003D4632">
        <w:rPr>
          <w:rFonts w:ascii="Times New Roman" w:hAnsi="Times New Roman" w:cs="Times New Roman"/>
          <w:sz w:val="24"/>
          <w:szCs w:val="24"/>
          <w:lang w:val="en-GB"/>
        </w:rPr>
        <w:t>ing</w:t>
      </w:r>
      <w:r w:rsidR="00EB0B09" w:rsidRPr="003D4632">
        <w:rPr>
          <w:rFonts w:ascii="Times New Roman" w:hAnsi="Times New Roman" w:cs="Times New Roman"/>
          <w:sz w:val="24"/>
          <w:szCs w:val="24"/>
          <w:lang w:val="en-GB"/>
        </w:rPr>
        <w:t xml:space="preserve"> ownership concentration principles </w:t>
      </w:r>
      <w:r w:rsidR="000A6A49" w:rsidRPr="003D4632">
        <w:rPr>
          <w:rFonts w:ascii="Times New Roman" w:hAnsi="Times New Roman" w:cs="Times New Roman"/>
          <w:sz w:val="24"/>
          <w:szCs w:val="24"/>
          <w:lang w:val="en-GB"/>
        </w:rPr>
        <w:t xml:space="preserve">that will </w:t>
      </w:r>
      <w:r w:rsidR="00D7644D" w:rsidRPr="003D4632">
        <w:rPr>
          <w:rFonts w:ascii="Times New Roman" w:hAnsi="Times New Roman" w:cs="Times New Roman"/>
          <w:sz w:val="24"/>
          <w:szCs w:val="24"/>
          <w:lang w:val="en-GB"/>
        </w:rPr>
        <w:t xml:space="preserve">inhibit </w:t>
      </w:r>
      <w:r w:rsidR="000A6A49" w:rsidRPr="003D4632">
        <w:rPr>
          <w:rFonts w:ascii="Times New Roman" w:hAnsi="Times New Roman" w:cs="Times New Roman"/>
          <w:sz w:val="24"/>
          <w:szCs w:val="24"/>
          <w:lang w:val="en-GB"/>
        </w:rPr>
        <w:t>the growth</w:t>
      </w:r>
      <w:r w:rsidR="00EB0B09" w:rsidRPr="003D4632">
        <w:rPr>
          <w:rFonts w:ascii="Times New Roman" w:hAnsi="Times New Roman" w:cs="Times New Roman"/>
          <w:sz w:val="24"/>
          <w:szCs w:val="24"/>
          <w:lang w:val="en-GB"/>
        </w:rPr>
        <w:t xml:space="preserve"> </w:t>
      </w:r>
      <w:r w:rsidR="006F7D62" w:rsidRPr="003D4632">
        <w:rPr>
          <w:rFonts w:ascii="Times New Roman" w:hAnsi="Times New Roman" w:cs="Times New Roman"/>
          <w:sz w:val="24"/>
          <w:szCs w:val="24"/>
          <w:lang w:val="en-GB"/>
        </w:rPr>
        <w:t>of non-performing loan</w:t>
      </w:r>
      <w:r w:rsidR="003C2196">
        <w:rPr>
          <w:rFonts w:ascii="Times New Roman" w:hAnsi="Times New Roman" w:cs="Times New Roman"/>
          <w:sz w:val="24"/>
          <w:szCs w:val="24"/>
          <w:lang w:val="en-GB"/>
        </w:rPr>
        <w:t>s</w:t>
      </w:r>
      <w:r w:rsidR="00F139E7" w:rsidRPr="003D4632">
        <w:rPr>
          <w:rFonts w:ascii="Times New Roman" w:hAnsi="Times New Roman" w:cs="Times New Roman"/>
          <w:sz w:val="24"/>
          <w:szCs w:val="24"/>
          <w:lang w:val="en-GB"/>
        </w:rPr>
        <w:t xml:space="preserve"> but</w:t>
      </w:r>
      <w:r w:rsidR="000A6A49" w:rsidRPr="003D4632">
        <w:rPr>
          <w:rFonts w:ascii="Times New Roman" w:hAnsi="Times New Roman" w:cs="Times New Roman"/>
          <w:sz w:val="24"/>
          <w:szCs w:val="24"/>
          <w:lang w:val="en-GB"/>
        </w:rPr>
        <w:t xml:space="preserve"> the situation has not</w:t>
      </w:r>
      <w:r w:rsidR="00D7644D" w:rsidRPr="003D4632">
        <w:rPr>
          <w:rFonts w:ascii="Times New Roman" w:hAnsi="Times New Roman" w:cs="Times New Roman"/>
          <w:sz w:val="24"/>
          <w:szCs w:val="24"/>
          <w:lang w:val="en-GB"/>
        </w:rPr>
        <w:t xml:space="preserve"> recorded</w:t>
      </w:r>
      <w:r w:rsidR="000A6A49" w:rsidRPr="003D4632">
        <w:rPr>
          <w:rFonts w:ascii="Times New Roman" w:hAnsi="Times New Roman" w:cs="Times New Roman"/>
          <w:sz w:val="24"/>
          <w:szCs w:val="24"/>
          <w:lang w:val="en-GB"/>
        </w:rPr>
        <w:t xml:space="preserve"> appreciable success </w:t>
      </w:r>
      <w:r w:rsidR="00A354EC" w:rsidRPr="003D4632">
        <w:rPr>
          <w:rFonts w:ascii="Times New Roman" w:hAnsi="Times New Roman" w:cs="Times New Roman"/>
          <w:sz w:val="24"/>
          <w:szCs w:val="24"/>
          <w:lang w:val="en-GB"/>
        </w:rPr>
        <w:t>as</w:t>
      </w:r>
      <w:r w:rsidR="00F139E7" w:rsidRPr="003D4632">
        <w:rPr>
          <w:rFonts w:ascii="Times New Roman" w:hAnsi="Times New Roman" w:cs="Times New Roman"/>
          <w:sz w:val="24"/>
          <w:szCs w:val="24"/>
          <w:lang w:val="en-GB"/>
        </w:rPr>
        <w:t xml:space="preserve"> </w:t>
      </w:r>
      <w:r w:rsidR="003C2196">
        <w:rPr>
          <w:rFonts w:ascii="Times New Roman" w:hAnsi="Times New Roman" w:cs="Times New Roman"/>
          <w:sz w:val="24"/>
          <w:szCs w:val="24"/>
          <w:lang w:val="en-GB"/>
        </w:rPr>
        <w:t xml:space="preserve">the </w:t>
      </w:r>
      <w:r w:rsidR="00F139E7" w:rsidRPr="003D4632">
        <w:rPr>
          <w:rFonts w:ascii="Times New Roman" w:hAnsi="Times New Roman" w:cs="Times New Roman"/>
          <w:sz w:val="24"/>
          <w:szCs w:val="24"/>
          <w:lang w:val="en-GB"/>
        </w:rPr>
        <w:t xml:space="preserve">non-performing loan has </w:t>
      </w:r>
      <w:r w:rsidR="00A354EC" w:rsidRPr="003D4632">
        <w:rPr>
          <w:rFonts w:ascii="Times New Roman" w:hAnsi="Times New Roman" w:cs="Times New Roman"/>
          <w:sz w:val="24"/>
          <w:szCs w:val="24"/>
          <w:lang w:val="en-GB"/>
        </w:rPr>
        <w:t>often bedevilled the Nigerian banking sector.</w:t>
      </w:r>
      <w:r w:rsidR="00F139E7" w:rsidRPr="003D4632">
        <w:rPr>
          <w:rFonts w:ascii="Times New Roman" w:hAnsi="Times New Roman" w:cs="Times New Roman"/>
          <w:sz w:val="24"/>
          <w:szCs w:val="24"/>
          <w:lang w:val="en-GB"/>
        </w:rPr>
        <w:t xml:space="preserve"> </w:t>
      </w:r>
    </w:p>
    <w:p w14:paraId="067D22C9" w14:textId="77777777" w:rsidR="00FB3FAC" w:rsidRPr="003D4632" w:rsidRDefault="00FB3FAC" w:rsidP="00FB3FAC">
      <w:pPr>
        <w:spacing w:after="0" w:line="360" w:lineRule="auto"/>
        <w:ind w:right="14"/>
        <w:jc w:val="both"/>
        <w:rPr>
          <w:rFonts w:ascii="Times New Roman" w:hAnsi="Times New Roman" w:cs="Times New Roman"/>
          <w:sz w:val="24"/>
          <w:szCs w:val="24"/>
          <w:lang w:val="en-GB"/>
        </w:rPr>
      </w:pPr>
    </w:p>
    <w:p w14:paraId="3739B049" w14:textId="63A52079" w:rsidR="005E1BA4" w:rsidRPr="003D4632" w:rsidRDefault="00904E7A"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sz w:val="24"/>
          <w:szCs w:val="24"/>
          <w:lang w:val="en-GB"/>
        </w:rPr>
        <w:t>Extant</w:t>
      </w:r>
      <w:r w:rsidR="0024668E" w:rsidRPr="003D4632">
        <w:rPr>
          <w:rFonts w:ascii="Times New Roman" w:hAnsi="Times New Roman" w:cs="Times New Roman"/>
          <w:sz w:val="24"/>
          <w:szCs w:val="24"/>
          <w:lang w:val="en-GB"/>
        </w:rPr>
        <w:t xml:space="preserve"> studies by prominent scholars and financial experts on the effect of ownership structure on nonperforming loans in </w:t>
      </w:r>
      <w:r w:rsidR="00066C80" w:rsidRPr="003D4632">
        <w:rPr>
          <w:rFonts w:ascii="Times New Roman" w:hAnsi="Times New Roman" w:cs="Times New Roman"/>
          <w:sz w:val="24"/>
          <w:szCs w:val="24"/>
          <w:lang w:val="en-GB"/>
        </w:rPr>
        <w:t>different countries</w:t>
      </w:r>
      <w:r w:rsidR="00FF28A9" w:rsidRPr="003D4632">
        <w:rPr>
          <w:rFonts w:ascii="Times New Roman" w:hAnsi="Times New Roman" w:cs="Times New Roman"/>
          <w:sz w:val="24"/>
          <w:szCs w:val="24"/>
          <w:lang w:val="en-GB"/>
        </w:rPr>
        <w:t xml:space="preserve"> coupled with the knowledge gained from</w:t>
      </w:r>
      <w:r w:rsidR="00FA51AD" w:rsidRPr="003D4632">
        <w:rPr>
          <w:rFonts w:ascii="Times New Roman" w:hAnsi="Times New Roman" w:cs="Times New Roman"/>
          <w:sz w:val="24"/>
          <w:szCs w:val="24"/>
          <w:lang w:val="en-GB"/>
        </w:rPr>
        <w:t xml:space="preserve"> several measures adopted by the CBN to address the problem of NPLs have not yielded the </w:t>
      </w:r>
      <w:r w:rsidR="00B468AB" w:rsidRPr="003D4632">
        <w:rPr>
          <w:rFonts w:ascii="Times New Roman" w:hAnsi="Times New Roman" w:cs="Times New Roman"/>
          <w:sz w:val="24"/>
          <w:szCs w:val="24"/>
          <w:lang w:val="en-GB"/>
        </w:rPr>
        <w:t>required level</w:t>
      </w:r>
      <w:r w:rsidR="00FF28A9" w:rsidRPr="003D4632">
        <w:rPr>
          <w:rFonts w:ascii="Times New Roman" w:hAnsi="Times New Roman" w:cs="Times New Roman"/>
          <w:sz w:val="24"/>
          <w:szCs w:val="24"/>
          <w:lang w:val="en-GB"/>
        </w:rPr>
        <w:t xml:space="preserve"> of success</w:t>
      </w:r>
      <w:r w:rsidR="007645CF" w:rsidRPr="003D4632">
        <w:rPr>
          <w:rFonts w:ascii="Times New Roman" w:hAnsi="Times New Roman" w:cs="Times New Roman"/>
          <w:sz w:val="24"/>
          <w:szCs w:val="24"/>
        </w:rPr>
        <w:t xml:space="preserve"> </w:t>
      </w:r>
      <w:r w:rsidR="00FF28A9" w:rsidRPr="003D4632">
        <w:rPr>
          <w:rFonts w:ascii="Times New Roman" w:hAnsi="Times New Roman" w:cs="Times New Roman"/>
          <w:sz w:val="24"/>
          <w:szCs w:val="24"/>
        </w:rPr>
        <w:t>(</w:t>
      </w:r>
      <w:proofErr w:type="spellStart"/>
      <w:r w:rsidR="007645CF" w:rsidRPr="003D4632">
        <w:rPr>
          <w:rFonts w:ascii="Times New Roman" w:hAnsi="Times New Roman" w:cs="Times New Roman"/>
          <w:sz w:val="24"/>
          <w:szCs w:val="24"/>
        </w:rPr>
        <w:t>Cifter</w:t>
      </w:r>
      <w:proofErr w:type="spellEnd"/>
      <w:r w:rsidR="00066C80" w:rsidRPr="003D4632">
        <w:rPr>
          <w:rFonts w:ascii="Times New Roman" w:hAnsi="Times New Roman" w:cs="Times New Roman"/>
          <w:sz w:val="24"/>
          <w:szCs w:val="24"/>
        </w:rPr>
        <w:t xml:space="preserve"> </w:t>
      </w:r>
      <w:r w:rsidR="007645CF" w:rsidRPr="003D4632">
        <w:rPr>
          <w:rFonts w:ascii="Times New Roman" w:hAnsi="Times New Roman" w:cs="Times New Roman"/>
          <w:sz w:val="24"/>
          <w:szCs w:val="24"/>
        </w:rPr>
        <w:t>2015;</w:t>
      </w:r>
      <w:r w:rsidR="007645CF" w:rsidRPr="003D4632">
        <w:rPr>
          <w:rFonts w:ascii="Times New Roman" w:hAnsi="Times New Roman" w:cs="Times New Roman"/>
          <w:sz w:val="24"/>
          <w:szCs w:val="24"/>
          <w:lang w:val="en-GB"/>
        </w:rPr>
        <w:t xml:space="preserve"> </w:t>
      </w:r>
      <w:proofErr w:type="spellStart"/>
      <w:r w:rsidR="007645CF" w:rsidRPr="003D4632">
        <w:rPr>
          <w:rFonts w:ascii="Times New Roman" w:hAnsi="Times New Roman" w:cs="Times New Roman"/>
          <w:bCs/>
          <w:sz w:val="24"/>
          <w:szCs w:val="24"/>
        </w:rPr>
        <w:t>Migliardo</w:t>
      </w:r>
      <w:proofErr w:type="spellEnd"/>
      <w:r w:rsidR="00066C80" w:rsidRPr="003D4632">
        <w:rPr>
          <w:rFonts w:ascii="Times New Roman" w:hAnsi="Times New Roman" w:cs="Times New Roman"/>
          <w:bCs/>
          <w:sz w:val="24"/>
          <w:szCs w:val="24"/>
        </w:rPr>
        <w:t xml:space="preserve"> &amp;</w:t>
      </w:r>
      <w:r w:rsidR="007645CF" w:rsidRPr="003D4632">
        <w:rPr>
          <w:rFonts w:ascii="Times New Roman" w:hAnsi="Times New Roman" w:cs="Times New Roman"/>
          <w:bCs/>
          <w:sz w:val="24"/>
          <w:szCs w:val="24"/>
        </w:rPr>
        <w:t xml:space="preserve"> Fabio 2018; </w:t>
      </w:r>
      <w:proofErr w:type="spellStart"/>
      <w:r w:rsidR="007645CF" w:rsidRPr="003D4632">
        <w:rPr>
          <w:rFonts w:ascii="Times New Roman" w:hAnsi="Times New Roman" w:cs="Times New Roman"/>
          <w:bCs/>
          <w:sz w:val="24"/>
          <w:szCs w:val="24"/>
        </w:rPr>
        <w:t>Sijabat</w:t>
      </w:r>
      <w:proofErr w:type="spellEnd"/>
      <w:r w:rsidR="007645CF" w:rsidRPr="003D4632">
        <w:rPr>
          <w:rFonts w:ascii="Times New Roman" w:hAnsi="Times New Roman" w:cs="Times New Roman"/>
          <w:bCs/>
          <w:sz w:val="24"/>
          <w:szCs w:val="24"/>
        </w:rPr>
        <w:t xml:space="preserve"> et.al., 2020)</w:t>
      </w:r>
      <w:r w:rsidR="00066C80" w:rsidRPr="003D4632">
        <w:rPr>
          <w:rFonts w:ascii="Times New Roman" w:hAnsi="Times New Roman" w:cs="Times New Roman"/>
          <w:bCs/>
          <w:sz w:val="24"/>
          <w:szCs w:val="24"/>
        </w:rPr>
        <w:t>. They</w:t>
      </w:r>
      <w:r w:rsidR="005E1BA4" w:rsidRPr="003D4632">
        <w:rPr>
          <w:rFonts w:ascii="Times New Roman" w:hAnsi="Times New Roman" w:cs="Times New Roman"/>
          <w:bCs/>
          <w:sz w:val="24"/>
          <w:szCs w:val="24"/>
        </w:rPr>
        <w:t xml:space="preserve"> examined the effect of ownership concentration on non-performing loan</w:t>
      </w:r>
      <w:r w:rsidR="003C2196">
        <w:rPr>
          <w:rFonts w:ascii="Times New Roman" w:hAnsi="Times New Roman" w:cs="Times New Roman"/>
          <w:bCs/>
          <w:sz w:val="24"/>
          <w:szCs w:val="24"/>
        </w:rPr>
        <w:t>s</w:t>
      </w:r>
      <w:r w:rsidR="005E1BA4" w:rsidRPr="003D4632">
        <w:rPr>
          <w:rFonts w:ascii="Times New Roman" w:hAnsi="Times New Roman" w:cs="Times New Roman"/>
          <w:bCs/>
          <w:sz w:val="24"/>
          <w:szCs w:val="24"/>
        </w:rPr>
        <w:t xml:space="preserve"> using various listed banks on the Indonesia stock exchange from 2000 to 2018, 15 European Union (EU) countries and </w:t>
      </w:r>
      <w:r w:rsidR="005E1BA4" w:rsidRPr="003D4632">
        <w:rPr>
          <w:rFonts w:ascii="Times New Roman" w:hAnsi="Times New Roman" w:cs="Times New Roman"/>
          <w:sz w:val="24"/>
          <w:szCs w:val="24"/>
        </w:rPr>
        <w:t xml:space="preserve">ten Central and Eastern European (CEE) countries but </w:t>
      </w:r>
      <w:r w:rsidR="00DA4F0D">
        <w:rPr>
          <w:rFonts w:ascii="Times New Roman" w:hAnsi="Times New Roman" w:cs="Times New Roman"/>
          <w:sz w:val="24"/>
          <w:szCs w:val="24"/>
        </w:rPr>
        <w:t>the</w:t>
      </w:r>
      <w:r w:rsidR="00F356B1">
        <w:rPr>
          <w:rFonts w:ascii="Times New Roman" w:hAnsi="Times New Roman" w:cs="Times New Roman"/>
          <w:sz w:val="24"/>
          <w:szCs w:val="24"/>
        </w:rPr>
        <w:t>se experiences that are routed in</w:t>
      </w:r>
      <w:r w:rsidR="00DA4F0D">
        <w:rPr>
          <w:rFonts w:ascii="Times New Roman" w:hAnsi="Times New Roman" w:cs="Times New Roman"/>
          <w:sz w:val="24"/>
          <w:szCs w:val="24"/>
        </w:rPr>
        <w:t xml:space="preserve"> foreign </w:t>
      </w:r>
      <w:r w:rsidR="00F356B1">
        <w:rPr>
          <w:rFonts w:ascii="Times New Roman" w:hAnsi="Times New Roman" w:cs="Times New Roman"/>
          <w:sz w:val="24"/>
          <w:szCs w:val="24"/>
        </w:rPr>
        <w:t>countries may not apply to Nigeria due to differences in the financial structure</w:t>
      </w:r>
      <w:r w:rsidR="005D1F60">
        <w:rPr>
          <w:rFonts w:ascii="Times New Roman" w:hAnsi="Times New Roman" w:cs="Times New Roman"/>
          <w:sz w:val="24"/>
          <w:szCs w:val="24"/>
        </w:rPr>
        <w:t>.</w:t>
      </w:r>
      <w:r w:rsidR="00D059D4" w:rsidRPr="003D4632">
        <w:rPr>
          <w:rFonts w:ascii="Times New Roman" w:hAnsi="Times New Roman" w:cs="Times New Roman"/>
          <w:sz w:val="24"/>
          <w:szCs w:val="24"/>
        </w:rPr>
        <w:t xml:space="preserve"> </w:t>
      </w:r>
      <w:r w:rsidR="00066C80" w:rsidRPr="003D4632">
        <w:rPr>
          <w:rFonts w:ascii="Times New Roman" w:hAnsi="Times New Roman" w:cs="Times New Roman"/>
          <w:sz w:val="24"/>
          <w:szCs w:val="24"/>
        </w:rPr>
        <w:t>Furthermore</w:t>
      </w:r>
      <w:r w:rsidR="00D059D4" w:rsidRPr="003D4632">
        <w:rPr>
          <w:rFonts w:ascii="Times New Roman" w:hAnsi="Times New Roman" w:cs="Times New Roman"/>
          <w:sz w:val="24"/>
          <w:szCs w:val="24"/>
        </w:rPr>
        <w:t xml:space="preserve">, </w:t>
      </w:r>
      <w:r w:rsidR="006E6E47" w:rsidRPr="003D4632">
        <w:rPr>
          <w:rFonts w:ascii="Times New Roman" w:hAnsi="Times New Roman" w:cs="Times New Roman"/>
          <w:sz w:val="24"/>
          <w:szCs w:val="24"/>
        </w:rPr>
        <w:t xml:space="preserve">none of these studies used </w:t>
      </w:r>
      <w:r w:rsidR="003C2196">
        <w:rPr>
          <w:rFonts w:ascii="Times New Roman" w:hAnsi="Times New Roman" w:cs="Times New Roman"/>
          <w:sz w:val="24"/>
          <w:szCs w:val="24"/>
        </w:rPr>
        <w:t xml:space="preserve">a </w:t>
      </w:r>
      <w:r w:rsidR="006E6E47" w:rsidRPr="003D4632">
        <w:rPr>
          <w:rFonts w:ascii="Times New Roman" w:hAnsi="Times New Roman" w:cs="Times New Roman"/>
          <w:sz w:val="24"/>
          <w:szCs w:val="24"/>
        </w:rPr>
        <w:t xml:space="preserve">control variable (bank size) to </w:t>
      </w:r>
      <w:r w:rsidR="00234C13" w:rsidRPr="003D4632">
        <w:rPr>
          <w:rFonts w:ascii="Times New Roman" w:hAnsi="Times New Roman" w:cs="Times New Roman"/>
          <w:sz w:val="24"/>
          <w:szCs w:val="24"/>
        </w:rPr>
        <w:t xml:space="preserve">influence the findings. </w:t>
      </w:r>
      <w:r w:rsidR="009E3500">
        <w:rPr>
          <w:rFonts w:ascii="Times New Roman" w:hAnsi="Times New Roman" w:cs="Times New Roman"/>
          <w:sz w:val="24"/>
          <w:szCs w:val="24"/>
        </w:rPr>
        <w:t>To</w:t>
      </w:r>
      <w:r w:rsidR="00D7644D" w:rsidRPr="003D4632">
        <w:rPr>
          <w:rFonts w:ascii="Times New Roman" w:hAnsi="Times New Roman" w:cs="Times New Roman"/>
          <w:sz w:val="24"/>
          <w:szCs w:val="24"/>
        </w:rPr>
        <w:t xml:space="preserve"> the best</w:t>
      </w:r>
      <w:r w:rsidR="009E3500">
        <w:rPr>
          <w:rFonts w:ascii="Times New Roman" w:hAnsi="Times New Roman" w:cs="Times New Roman"/>
          <w:sz w:val="24"/>
          <w:szCs w:val="24"/>
        </w:rPr>
        <w:t xml:space="preserve"> </w:t>
      </w:r>
      <w:r w:rsidR="009E3500">
        <w:rPr>
          <w:rFonts w:ascii="Times New Roman" w:hAnsi="Times New Roman" w:cs="Times New Roman"/>
          <w:sz w:val="24"/>
          <w:szCs w:val="24"/>
        </w:rPr>
        <w:lastRenderedPageBreak/>
        <w:t>of</w:t>
      </w:r>
      <w:r w:rsidR="00D7644D" w:rsidRPr="003D4632">
        <w:rPr>
          <w:rFonts w:ascii="Times New Roman" w:hAnsi="Times New Roman" w:cs="Times New Roman"/>
          <w:sz w:val="24"/>
          <w:szCs w:val="24"/>
        </w:rPr>
        <w:t xml:space="preserve"> our knowledge, limited attention has been accorded nonperforming loans in empirical studies </w:t>
      </w:r>
      <w:r w:rsidR="00F01761" w:rsidRPr="003D4632">
        <w:rPr>
          <w:rFonts w:ascii="Times New Roman" w:hAnsi="Times New Roman" w:cs="Times New Roman"/>
          <w:sz w:val="24"/>
          <w:szCs w:val="24"/>
        </w:rPr>
        <w:t xml:space="preserve">of ownership structure in </w:t>
      </w:r>
      <w:r w:rsidR="009E3500">
        <w:rPr>
          <w:rFonts w:ascii="Times New Roman" w:hAnsi="Times New Roman" w:cs="Times New Roman"/>
          <w:sz w:val="24"/>
          <w:szCs w:val="24"/>
        </w:rPr>
        <w:t>Nigeria</w:t>
      </w:r>
      <w:r w:rsidR="00F01761" w:rsidRPr="003D4632">
        <w:rPr>
          <w:rFonts w:ascii="Times New Roman" w:hAnsi="Times New Roman" w:cs="Times New Roman"/>
          <w:sz w:val="24"/>
          <w:szCs w:val="24"/>
        </w:rPr>
        <w:t xml:space="preserve"> thereby creating a gap </w:t>
      </w:r>
      <w:r w:rsidR="003C2196">
        <w:rPr>
          <w:rFonts w:ascii="Times New Roman" w:hAnsi="Times New Roman" w:cs="Times New Roman"/>
          <w:sz w:val="24"/>
          <w:szCs w:val="24"/>
        </w:rPr>
        <w:t>that</w:t>
      </w:r>
      <w:r w:rsidR="003C2196" w:rsidRPr="003D4632">
        <w:rPr>
          <w:rFonts w:ascii="Times New Roman" w:hAnsi="Times New Roman" w:cs="Times New Roman"/>
          <w:sz w:val="24"/>
          <w:szCs w:val="24"/>
        </w:rPr>
        <w:t xml:space="preserve"> </w:t>
      </w:r>
      <w:r w:rsidR="00F01761" w:rsidRPr="003D4632">
        <w:rPr>
          <w:rFonts w:ascii="Times New Roman" w:hAnsi="Times New Roman" w:cs="Times New Roman"/>
          <w:sz w:val="24"/>
          <w:szCs w:val="24"/>
        </w:rPr>
        <w:t xml:space="preserve">this study seeks to mitigate. </w:t>
      </w:r>
      <w:r w:rsidR="006E6E47" w:rsidRPr="003D4632">
        <w:rPr>
          <w:rFonts w:ascii="Times New Roman" w:hAnsi="Times New Roman" w:cs="Times New Roman"/>
          <w:sz w:val="24"/>
          <w:szCs w:val="24"/>
        </w:rPr>
        <w:t xml:space="preserve"> </w:t>
      </w:r>
      <w:r w:rsidR="002554B8" w:rsidRPr="003D4632">
        <w:rPr>
          <w:rFonts w:ascii="Times New Roman" w:hAnsi="Times New Roman" w:cs="Times New Roman"/>
          <w:sz w:val="24"/>
          <w:szCs w:val="24"/>
        </w:rPr>
        <w:t xml:space="preserve"> </w:t>
      </w:r>
      <w:r w:rsidR="003D61C4" w:rsidRPr="003D4632">
        <w:rPr>
          <w:rFonts w:ascii="Times New Roman" w:hAnsi="Times New Roman" w:cs="Times New Roman"/>
          <w:sz w:val="24"/>
          <w:szCs w:val="24"/>
        </w:rPr>
        <w:t xml:space="preserve">    </w:t>
      </w:r>
    </w:p>
    <w:p w14:paraId="74C261C0" w14:textId="77777777" w:rsidR="00FB3FAC" w:rsidRDefault="00EB0B09" w:rsidP="00FB3FAC">
      <w:pPr>
        <w:spacing w:after="0" w:line="360" w:lineRule="auto"/>
        <w:ind w:right="14"/>
        <w:jc w:val="both"/>
        <w:rPr>
          <w:rFonts w:ascii="Times New Roman" w:hAnsi="Times New Roman" w:cs="Times New Roman"/>
          <w:spacing w:val="6"/>
          <w:sz w:val="24"/>
          <w:szCs w:val="24"/>
        </w:rPr>
      </w:pPr>
      <w:r w:rsidRPr="003D4632">
        <w:rPr>
          <w:rStyle w:val="field-content"/>
          <w:rFonts w:ascii="Times New Roman" w:hAnsi="Times New Roman"/>
          <w:sz w:val="24"/>
          <w:szCs w:val="24"/>
        </w:rPr>
        <w:t>The objective</w:t>
      </w:r>
      <w:r w:rsidR="003C5EC5" w:rsidRPr="003D4632">
        <w:rPr>
          <w:rStyle w:val="field-content"/>
          <w:rFonts w:ascii="Times New Roman" w:hAnsi="Times New Roman"/>
          <w:sz w:val="24"/>
          <w:szCs w:val="24"/>
        </w:rPr>
        <w:t xml:space="preserve"> of this</w:t>
      </w:r>
      <w:r w:rsidRPr="003D4632">
        <w:rPr>
          <w:rStyle w:val="field-content"/>
          <w:rFonts w:ascii="Times New Roman" w:hAnsi="Times New Roman"/>
          <w:sz w:val="24"/>
          <w:szCs w:val="24"/>
        </w:rPr>
        <w:t xml:space="preserve"> study is to </w:t>
      </w:r>
      <w:r w:rsidRPr="003D4632">
        <w:rPr>
          <w:rFonts w:ascii="Times New Roman" w:hAnsi="Times New Roman" w:cs="Times New Roman"/>
          <w:sz w:val="24"/>
          <w:szCs w:val="24"/>
          <w:lang w:val="en-GB"/>
        </w:rPr>
        <w:t xml:space="preserve">examine the effect of </w:t>
      </w:r>
      <w:r w:rsidR="00F139E7" w:rsidRPr="003D4632">
        <w:rPr>
          <w:rFonts w:ascii="Times New Roman" w:hAnsi="Times New Roman" w:cs="Times New Roman"/>
          <w:sz w:val="24"/>
          <w:szCs w:val="24"/>
          <w:lang w:val="en-GB"/>
        </w:rPr>
        <w:t xml:space="preserve">ownership concentration </w:t>
      </w:r>
      <w:r w:rsidRPr="003D4632">
        <w:rPr>
          <w:rFonts w:ascii="Times New Roman" w:hAnsi="Times New Roman" w:cs="Times New Roman"/>
          <w:sz w:val="24"/>
          <w:szCs w:val="24"/>
          <w:lang w:val="en-GB"/>
        </w:rPr>
        <w:t xml:space="preserve">on </w:t>
      </w:r>
      <w:proofErr w:type="gramStart"/>
      <w:r w:rsidRPr="003D4632">
        <w:rPr>
          <w:rFonts w:ascii="Times New Roman" w:hAnsi="Times New Roman" w:cs="Times New Roman"/>
          <w:sz w:val="24"/>
          <w:szCs w:val="24"/>
          <w:lang w:val="en-GB"/>
        </w:rPr>
        <w:t>Non-Performing</w:t>
      </w:r>
      <w:proofErr w:type="gramEnd"/>
      <w:r w:rsidRPr="003D4632">
        <w:rPr>
          <w:rFonts w:ascii="Times New Roman" w:hAnsi="Times New Roman" w:cs="Times New Roman"/>
          <w:sz w:val="24"/>
          <w:szCs w:val="24"/>
          <w:lang w:val="en-GB"/>
        </w:rPr>
        <w:t xml:space="preserve"> loans </w:t>
      </w:r>
      <w:r w:rsidRPr="003D4632">
        <w:rPr>
          <w:rFonts w:ascii="Times New Roman" w:hAnsi="Times New Roman" w:cs="Times New Roman"/>
          <w:sz w:val="24"/>
          <w:szCs w:val="24"/>
        </w:rPr>
        <w:t>of</w:t>
      </w:r>
      <w:r w:rsidRPr="003D4632">
        <w:rPr>
          <w:rStyle w:val="field-content"/>
          <w:rFonts w:ascii="Times New Roman" w:hAnsi="Times New Roman"/>
          <w:sz w:val="24"/>
          <w:szCs w:val="24"/>
        </w:rPr>
        <w:t xml:space="preserve"> deposit money banks in Nigeria.</w:t>
      </w:r>
      <w:r w:rsidR="007645CF" w:rsidRPr="003D4632">
        <w:rPr>
          <w:rStyle w:val="field-content"/>
          <w:rFonts w:ascii="Times New Roman" w:hAnsi="Times New Roman"/>
          <w:sz w:val="24"/>
          <w:szCs w:val="24"/>
        </w:rPr>
        <w:t xml:space="preserve"> </w:t>
      </w:r>
      <w:r w:rsidR="00F139E7" w:rsidRPr="003D4632">
        <w:rPr>
          <w:rFonts w:ascii="Times New Roman" w:hAnsi="Times New Roman" w:cs="Times New Roman"/>
          <w:sz w:val="24"/>
          <w:szCs w:val="24"/>
        </w:rPr>
        <w:t>The s</w:t>
      </w:r>
      <w:r w:rsidR="00F139E7" w:rsidRPr="003D4632">
        <w:rPr>
          <w:rFonts w:ascii="Times New Roman" w:hAnsi="Times New Roman" w:cs="Times New Roman"/>
          <w:spacing w:val="-1"/>
          <w:sz w:val="24"/>
          <w:szCs w:val="24"/>
        </w:rPr>
        <w:t>c</w:t>
      </w:r>
      <w:r w:rsidR="00F139E7" w:rsidRPr="003D4632">
        <w:rPr>
          <w:rFonts w:ascii="Times New Roman" w:hAnsi="Times New Roman" w:cs="Times New Roman"/>
          <w:sz w:val="24"/>
          <w:szCs w:val="24"/>
        </w:rPr>
        <w:t>ope of t</w:t>
      </w:r>
      <w:r w:rsidR="00F139E7" w:rsidRPr="003D4632">
        <w:rPr>
          <w:rFonts w:ascii="Times New Roman" w:hAnsi="Times New Roman" w:cs="Times New Roman"/>
          <w:spacing w:val="5"/>
          <w:sz w:val="24"/>
          <w:szCs w:val="24"/>
        </w:rPr>
        <w:t>h</w:t>
      </w:r>
      <w:r w:rsidR="003C5EC5" w:rsidRPr="003D4632">
        <w:rPr>
          <w:rFonts w:ascii="Times New Roman" w:hAnsi="Times New Roman" w:cs="Times New Roman"/>
          <w:sz w:val="24"/>
          <w:szCs w:val="24"/>
        </w:rPr>
        <w:t>e</w:t>
      </w:r>
      <w:r w:rsidR="00F139E7" w:rsidRPr="003D4632">
        <w:rPr>
          <w:rFonts w:ascii="Times New Roman" w:hAnsi="Times New Roman" w:cs="Times New Roman"/>
          <w:sz w:val="24"/>
          <w:szCs w:val="24"/>
        </w:rPr>
        <w:t xml:space="preserve"> stu</w:t>
      </w:r>
      <w:r w:rsidR="00F139E7" w:rsidRPr="003D4632">
        <w:rPr>
          <w:rFonts w:ascii="Times New Roman" w:hAnsi="Times New Roman" w:cs="Times New Roman"/>
          <w:spacing w:val="3"/>
          <w:sz w:val="24"/>
          <w:szCs w:val="24"/>
        </w:rPr>
        <w:t>d</w:t>
      </w:r>
      <w:r w:rsidR="00F139E7" w:rsidRPr="003D4632">
        <w:rPr>
          <w:rFonts w:ascii="Times New Roman" w:hAnsi="Times New Roman" w:cs="Times New Roman"/>
          <w:sz w:val="24"/>
          <w:szCs w:val="24"/>
        </w:rPr>
        <w:t xml:space="preserve">y </w:t>
      </w:r>
      <w:r w:rsidR="003C5EC5" w:rsidRPr="003D4632">
        <w:rPr>
          <w:rFonts w:ascii="Times New Roman" w:hAnsi="Times New Roman" w:cs="Times New Roman"/>
          <w:sz w:val="24"/>
          <w:szCs w:val="24"/>
        </w:rPr>
        <w:t xml:space="preserve">also </w:t>
      </w:r>
      <w:r w:rsidR="00F139E7" w:rsidRPr="003D4632">
        <w:rPr>
          <w:rFonts w:ascii="Times New Roman" w:hAnsi="Times New Roman" w:cs="Times New Roman"/>
          <w:sz w:val="24"/>
          <w:szCs w:val="24"/>
        </w:rPr>
        <w:t xml:space="preserve">consists of </w:t>
      </w:r>
      <w:r w:rsidR="00F139E7" w:rsidRPr="003D4632">
        <w:rPr>
          <w:rFonts w:ascii="Times New Roman" w:hAnsi="Times New Roman" w:cs="Times New Roman"/>
          <w:spacing w:val="6"/>
          <w:sz w:val="24"/>
          <w:szCs w:val="24"/>
        </w:rPr>
        <w:t xml:space="preserve">the 14 Deposit Money Banks listed </w:t>
      </w:r>
      <w:r w:rsidR="00234C13" w:rsidRPr="003D4632">
        <w:rPr>
          <w:rFonts w:ascii="Times New Roman" w:hAnsi="Times New Roman" w:cs="Times New Roman"/>
          <w:spacing w:val="6"/>
          <w:sz w:val="24"/>
          <w:szCs w:val="24"/>
        </w:rPr>
        <w:t>o</w:t>
      </w:r>
      <w:r w:rsidR="00F139E7" w:rsidRPr="003D4632">
        <w:rPr>
          <w:rFonts w:ascii="Times New Roman" w:hAnsi="Times New Roman" w:cs="Times New Roman"/>
          <w:spacing w:val="6"/>
          <w:sz w:val="24"/>
          <w:szCs w:val="24"/>
        </w:rPr>
        <w:t>n the exchange</w:t>
      </w:r>
      <w:r w:rsidR="000307CF">
        <w:rPr>
          <w:rFonts w:ascii="Times New Roman" w:hAnsi="Times New Roman" w:cs="Times New Roman"/>
          <w:spacing w:val="6"/>
          <w:sz w:val="24"/>
          <w:szCs w:val="24"/>
        </w:rPr>
        <w:t xml:space="preserve"> group</w:t>
      </w:r>
      <w:r w:rsidR="00F139E7" w:rsidRPr="003D4632">
        <w:rPr>
          <w:rFonts w:ascii="Times New Roman" w:hAnsi="Times New Roman" w:cs="Times New Roman"/>
          <w:spacing w:val="6"/>
          <w:sz w:val="24"/>
          <w:szCs w:val="24"/>
        </w:rPr>
        <w:t xml:space="preserve">. </w:t>
      </w:r>
    </w:p>
    <w:p w14:paraId="34B1B9E3" w14:textId="77777777" w:rsidR="00FB3FAC" w:rsidRDefault="00FB3FAC" w:rsidP="00FB3FAC">
      <w:pPr>
        <w:spacing w:after="0" w:line="360" w:lineRule="auto"/>
        <w:ind w:right="14"/>
        <w:jc w:val="both"/>
        <w:rPr>
          <w:rFonts w:ascii="Times New Roman" w:hAnsi="Times New Roman" w:cs="Times New Roman"/>
          <w:spacing w:val="6"/>
          <w:sz w:val="24"/>
          <w:szCs w:val="24"/>
        </w:rPr>
      </w:pPr>
    </w:p>
    <w:p w14:paraId="3E2C2C27" w14:textId="262A0294" w:rsidR="00F139E7" w:rsidRPr="00AF5CDE" w:rsidRDefault="001E1CA2" w:rsidP="00FB3FAC">
      <w:pPr>
        <w:spacing w:after="0" w:line="360" w:lineRule="auto"/>
        <w:ind w:right="14"/>
        <w:jc w:val="both"/>
        <w:rPr>
          <w:rFonts w:ascii="Times New Roman" w:hAnsi="Times New Roman" w:cs="Times New Roman"/>
          <w:sz w:val="24"/>
          <w:szCs w:val="24"/>
        </w:rPr>
      </w:pPr>
      <w:r>
        <w:rPr>
          <w:rFonts w:ascii="Times New Roman" w:hAnsi="Times New Roman" w:cs="Times New Roman"/>
          <w:spacing w:val="6"/>
          <w:sz w:val="24"/>
          <w:szCs w:val="24"/>
        </w:rPr>
        <w:t xml:space="preserve">Specifically, it is </w:t>
      </w:r>
      <w:r w:rsidR="0087035B">
        <w:rPr>
          <w:rFonts w:ascii="Times New Roman" w:hAnsi="Times New Roman" w:cs="Times New Roman"/>
          <w:spacing w:val="6"/>
          <w:sz w:val="24"/>
          <w:szCs w:val="24"/>
        </w:rPr>
        <w:t>limited to the</w:t>
      </w:r>
      <w:r w:rsidR="00F139E7" w:rsidRPr="003D4632">
        <w:rPr>
          <w:rFonts w:ascii="Times New Roman" w:hAnsi="Times New Roman" w:cs="Times New Roman"/>
          <w:spacing w:val="6"/>
          <w:sz w:val="24"/>
          <w:szCs w:val="24"/>
        </w:rPr>
        <w:t xml:space="preserve"> eight (8) deposit money banks licensed with international </w:t>
      </w:r>
      <w:r w:rsidR="0087035B" w:rsidRPr="003D4632">
        <w:rPr>
          <w:rFonts w:ascii="Times New Roman" w:hAnsi="Times New Roman" w:cs="Times New Roman"/>
          <w:spacing w:val="6"/>
          <w:sz w:val="24"/>
          <w:szCs w:val="24"/>
        </w:rPr>
        <w:t>authorities</w:t>
      </w:r>
      <w:r w:rsidR="0087035B">
        <w:rPr>
          <w:rFonts w:ascii="Times New Roman" w:hAnsi="Times New Roman" w:cs="Times New Roman"/>
          <w:spacing w:val="6"/>
          <w:sz w:val="24"/>
          <w:szCs w:val="24"/>
        </w:rPr>
        <w:t>.</w:t>
      </w:r>
      <w:r w:rsidR="0087035B" w:rsidRPr="003D4632">
        <w:rPr>
          <w:rFonts w:ascii="Times New Roman" w:hAnsi="Times New Roman" w:cs="Times New Roman"/>
          <w:spacing w:val="6"/>
          <w:sz w:val="24"/>
          <w:szCs w:val="24"/>
        </w:rPr>
        <w:t xml:space="preserve"> The</w:t>
      </w:r>
      <w:r w:rsidR="00F139E7" w:rsidRPr="003D4632">
        <w:rPr>
          <w:rFonts w:ascii="Times New Roman" w:hAnsi="Times New Roman" w:cs="Times New Roman"/>
          <w:spacing w:val="6"/>
          <w:sz w:val="24"/>
          <w:szCs w:val="24"/>
        </w:rPr>
        <w:t xml:space="preserve"> choice of the eight banks licensed with international authorities is based on the fact that they are greater in </w:t>
      </w:r>
      <w:r w:rsidR="003C2196">
        <w:rPr>
          <w:rFonts w:ascii="Times New Roman" w:hAnsi="Times New Roman" w:cs="Times New Roman"/>
          <w:spacing w:val="6"/>
          <w:sz w:val="24"/>
          <w:szCs w:val="24"/>
        </w:rPr>
        <w:t xml:space="preserve">the </w:t>
      </w:r>
      <w:r w:rsidR="00F139E7" w:rsidRPr="003D4632">
        <w:rPr>
          <w:rFonts w:ascii="Times New Roman" w:hAnsi="Times New Roman" w:cs="Times New Roman"/>
          <w:spacing w:val="6"/>
          <w:sz w:val="24"/>
          <w:szCs w:val="24"/>
        </w:rPr>
        <w:t xml:space="preserve">scope of </w:t>
      </w:r>
      <w:r w:rsidR="0087035B">
        <w:rPr>
          <w:rFonts w:ascii="Times New Roman" w:hAnsi="Times New Roman" w:cs="Times New Roman"/>
          <w:spacing w:val="6"/>
          <w:sz w:val="24"/>
          <w:szCs w:val="24"/>
        </w:rPr>
        <w:t>operation</w:t>
      </w:r>
      <w:r w:rsidR="00F139E7" w:rsidRPr="003D4632">
        <w:rPr>
          <w:rFonts w:ascii="Times New Roman" w:hAnsi="Times New Roman" w:cs="Times New Roman"/>
          <w:spacing w:val="6"/>
          <w:sz w:val="24"/>
          <w:szCs w:val="24"/>
        </w:rPr>
        <w:t xml:space="preserve"> and are by far more representative of the entire banking service providers in Nigeria.</w:t>
      </w:r>
      <w:r w:rsidR="00C172B8">
        <w:rPr>
          <w:rFonts w:ascii="Times New Roman" w:hAnsi="Times New Roman" w:cs="Times New Roman"/>
          <w:sz w:val="24"/>
          <w:szCs w:val="24"/>
        </w:rPr>
        <w:t xml:space="preserve"> </w:t>
      </w:r>
      <w:r w:rsidR="00AF5CDE">
        <w:rPr>
          <w:rFonts w:ascii="Times New Roman" w:hAnsi="Times New Roman" w:cs="Times New Roman"/>
          <w:sz w:val="24"/>
          <w:szCs w:val="24"/>
        </w:rPr>
        <w:t>Sequel to the mix</w:t>
      </w:r>
      <w:r w:rsidR="003C2196">
        <w:rPr>
          <w:rFonts w:ascii="Times New Roman" w:hAnsi="Times New Roman" w:cs="Times New Roman"/>
          <w:sz w:val="24"/>
          <w:szCs w:val="24"/>
        </w:rPr>
        <w:t>ed</w:t>
      </w:r>
      <w:r w:rsidR="00AF5CDE">
        <w:rPr>
          <w:rFonts w:ascii="Times New Roman" w:hAnsi="Times New Roman" w:cs="Times New Roman"/>
          <w:sz w:val="24"/>
          <w:szCs w:val="24"/>
        </w:rPr>
        <w:t xml:space="preserve"> findings with regards to the effect of ownership concentration on nonperforming loans of deposit money banks in Nigeria, this study</w:t>
      </w:r>
      <w:r w:rsidR="003C2196">
        <w:rPr>
          <w:rFonts w:ascii="Times New Roman" w:hAnsi="Times New Roman" w:cs="Times New Roman"/>
          <w:sz w:val="24"/>
          <w:szCs w:val="24"/>
        </w:rPr>
        <w:t>, therefore,</w:t>
      </w:r>
      <w:r w:rsidR="00AF5CDE">
        <w:rPr>
          <w:rFonts w:ascii="Times New Roman" w:hAnsi="Times New Roman" w:cs="Times New Roman"/>
          <w:sz w:val="24"/>
          <w:szCs w:val="24"/>
        </w:rPr>
        <w:t xml:space="preserve"> hypothesized that:</w:t>
      </w:r>
    </w:p>
    <w:p w14:paraId="4472A541" w14:textId="77777777" w:rsidR="00FB3FAC" w:rsidRDefault="00FB3FAC" w:rsidP="00FB3FAC">
      <w:pPr>
        <w:autoSpaceDE w:val="0"/>
        <w:autoSpaceDN w:val="0"/>
        <w:adjustRightInd w:val="0"/>
        <w:spacing w:after="0" w:line="360" w:lineRule="auto"/>
        <w:ind w:right="8"/>
        <w:jc w:val="both"/>
        <w:rPr>
          <w:rFonts w:ascii="Times New Roman" w:hAnsi="Times New Roman" w:cs="Times New Roman"/>
          <w:b/>
          <w:sz w:val="24"/>
          <w:szCs w:val="24"/>
        </w:rPr>
      </w:pPr>
    </w:p>
    <w:p w14:paraId="00A4F8BD" w14:textId="227A2F3B" w:rsidR="00EB0B09" w:rsidRPr="003D4632" w:rsidRDefault="00EB0B09" w:rsidP="00FB3FAC">
      <w:pPr>
        <w:autoSpaceDE w:val="0"/>
        <w:autoSpaceDN w:val="0"/>
        <w:adjustRightInd w:val="0"/>
        <w:spacing w:after="0" w:line="360" w:lineRule="auto"/>
        <w:ind w:right="8"/>
        <w:jc w:val="both"/>
        <w:rPr>
          <w:rFonts w:ascii="Times New Roman" w:hAnsi="Times New Roman" w:cs="Times New Roman"/>
          <w:sz w:val="24"/>
          <w:szCs w:val="24"/>
          <w:lang w:val="en-GB"/>
        </w:rPr>
      </w:pPr>
      <w:r w:rsidRPr="003D4632">
        <w:rPr>
          <w:rFonts w:ascii="Times New Roman" w:hAnsi="Times New Roman" w:cs="Times New Roman"/>
          <w:b/>
          <w:sz w:val="24"/>
          <w:szCs w:val="24"/>
        </w:rPr>
        <w:t>H</w:t>
      </w:r>
      <w:r w:rsidRPr="003D4632">
        <w:rPr>
          <w:rFonts w:ascii="Times New Roman" w:hAnsi="Times New Roman" w:cs="Times New Roman"/>
          <w:b/>
          <w:sz w:val="24"/>
          <w:szCs w:val="24"/>
          <w:vertAlign w:val="subscript"/>
        </w:rPr>
        <w:t>01</w:t>
      </w:r>
      <w:r w:rsidRPr="003D4632">
        <w:rPr>
          <w:rFonts w:ascii="Times New Roman" w:hAnsi="Times New Roman" w:cs="Times New Roman"/>
          <w:sz w:val="24"/>
          <w:szCs w:val="24"/>
        </w:rPr>
        <w:t xml:space="preserve">: Ownership concentration has no significant effect on non-performing loans </w:t>
      </w:r>
      <w:r w:rsidRPr="003D4632">
        <w:rPr>
          <w:rFonts w:ascii="Times New Roman" w:hAnsi="Times New Roman" w:cs="Times New Roman"/>
          <w:sz w:val="24"/>
          <w:szCs w:val="24"/>
          <w:lang w:val="en-GB"/>
        </w:rPr>
        <w:t xml:space="preserve">of deposit </w:t>
      </w:r>
      <w:r w:rsidR="00F139E7" w:rsidRPr="003D4632">
        <w:rPr>
          <w:rFonts w:ascii="Times New Roman" w:hAnsi="Times New Roman" w:cs="Times New Roman"/>
          <w:sz w:val="24"/>
          <w:szCs w:val="24"/>
          <w:lang w:val="en-GB"/>
        </w:rPr>
        <w:tab/>
      </w:r>
      <w:r w:rsidRPr="003D4632">
        <w:rPr>
          <w:rFonts w:ascii="Times New Roman" w:hAnsi="Times New Roman" w:cs="Times New Roman"/>
          <w:sz w:val="24"/>
          <w:szCs w:val="24"/>
          <w:lang w:val="en-GB"/>
        </w:rPr>
        <w:t>money banks in Nigeria</w:t>
      </w:r>
    </w:p>
    <w:p w14:paraId="48181E59" w14:textId="77777777" w:rsidR="00FB3FAC" w:rsidRDefault="00FB3FAC" w:rsidP="00FB3FAC">
      <w:pPr>
        <w:autoSpaceDE w:val="0"/>
        <w:autoSpaceDN w:val="0"/>
        <w:adjustRightInd w:val="0"/>
        <w:spacing w:after="0" w:line="360" w:lineRule="auto"/>
        <w:ind w:right="8"/>
        <w:jc w:val="both"/>
        <w:rPr>
          <w:rFonts w:ascii="Times New Roman" w:hAnsi="Times New Roman" w:cs="Times New Roman"/>
          <w:b/>
          <w:sz w:val="24"/>
          <w:szCs w:val="24"/>
        </w:rPr>
      </w:pPr>
    </w:p>
    <w:p w14:paraId="05C64813" w14:textId="5969BA2C" w:rsidR="00234C13" w:rsidRPr="003D4632" w:rsidRDefault="00234C13" w:rsidP="00FB3FAC">
      <w:pPr>
        <w:autoSpaceDE w:val="0"/>
        <w:autoSpaceDN w:val="0"/>
        <w:adjustRightInd w:val="0"/>
        <w:spacing w:after="0" w:line="360" w:lineRule="auto"/>
        <w:ind w:right="8"/>
        <w:jc w:val="both"/>
        <w:rPr>
          <w:rFonts w:ascii="Times New Roman" w:hAnsi="Times New Roman" w:cs="Times New Roman"/>
          <w:b/>
          <w:sz w:val="24"/>
          <w:szCs w:val="24"/>
        </w:rPr>
      </w:pPr>
      <w:r w:rsidRPr="003D4632">
        <w:rPr>
          <w:rFonts w:ascii="Times New Roman" w:hAnsi="Times New Roman" w:cs="Times New Roman"/>
          <w:b/>
          <w:sz w:val="24"/>
          <w:szCs w:val="24"/>
        </w:rPr>
        <w:t>Literature Review</w:t>
      </w:r>
    </w:p>
    <w:p w14:paraId="38C2C467" w14:textId="1D8F0C66" w:rsidR="00017BF2" w:rsidRPr="003D4632" w:rsidRDefault="00017BF2" w:rsidP="00FB3FAC">
      <w:pPr>
        <w:spacing w:after="0" w:line="360" w:lineRule="auto"/>
        <w:rPr>
          <w:rFonts w:ascii="Times New Roman" w:hAnsi="Times New Roman" w:cs="Times New Roman"/>
          <w:b/>
          <w:bCs/>
          <w:sz w:val="24"/>
          <w:szCs w:val="24"/>
          <w:lang w:eastAsia="en-GB"/>
        </w:rPr>
      </w:pPr>
      <w:r w:rsidRPr="003D4632">
        <w:rPr>
          <w:rFonts w:ascii="Times New Roman" w:hAnsi="Times New Roman" w:cs="Times New Roman"/>
          <w:b/>
          <w:bCs/>
          <w:sz w:val="24"/>
          <w:szCs w:val="24"/>
          <w:lang w:eastAsia="en-GB"/>
        </w:rPr>
        <w:t xml:space="preserve">Non-Performing Loan </w:t>
      </w:r>
    </w:p>
    <w:bookmarkEnd w:id="1"/>
    <w:p w14:paraId="4996E894" w14:textId="398A5171" w:rsidR="00017BF2" w:rsidRPr="003D4632" w:rsidRDefault="00017BF2" w:rsidP="00FB3FAC">
      <w:pPr>
        <w:spacing w:after="0" w:line="360" w:lineRule="auto"/>
        <w:ind w:right="8"/>
        <w:jc w:val="both"/>
        <w:rPr>
          <w:rFonts w:ascii="Times New Roman" w:hAnsi="Times New Roman" w:cs="Times New Roman"/>
          <w:sz w:val="24"/>
          <w:szCs w:val="24"/>
        </w:rPr>
      </w:pPr>
      <w:r w:rsidRPr="003D4632">
        <w:rPr>
          <w:rFonts w:ascii="Times New Roman" w:hAnsi="Times New Roman" w:cs="Times New Roman"/>
          <w:sz w:val="24"/>
          <w:szCs w:val="24"/>
        </w:rPr>
        <w:t>The International Monetary Fund (IMF) compilation guide on financial soundness indicators (2015) define</w:t>
      </w:r>
      <w:r w:rsidR="000A057A" w:rsidRPr="003D4632">
        <w:rPr>
          <w:rFonts w:ascii="Times New Roman" w:hAnsi="Times New Roman" w:cs="Times New Roman"/>
          <w:sz w:val="24"/>
          <w:szCs w:val="24"/>
        </w:rPr>
        <w:t>d</w:t>
      </w:r>
      <w:r w:rsidRPr="003D4632">
        <w:rPr>
          <w:rFonts w:ascii="Times New Roman" w:hAnsi="Times New Roman" w:cs="Times New Roman"/>
          <w:sz w:val="24"/>
          <w:szCs w:val="24"/>
        </w:rPr>
        <w:t xml:space="preserve"> non-performing loans as any credit facility in which interest and/or principal payments are past due by 90 days or interest payments equal to 90 days or more have been capitalized, refinanced or delayed by agreement or payments that are less than 90 days overdue, but there are good reasons, such as a debtor filing for bankruptcy to doubt that payments will be made in full. The Central Bank of Nigeria (2015) define</w:t>
      </w:r>
      <w:r w:rsidR="00CE46EA" w:rsidRPr="003D4632">
        <w:rPr>
          <w:rFonts w:ascii="Times New Roman" w:hAnsi="Times New Roman" w:cs="Times New Roman"/>
          <w:sz w:val="24"/>
          <w:szCs w:val="24"/>
        </w:rPr>
        <w:t xml:space="preserve">d </w:t>
      </w:r>
      <w:r w:rsidRPr="003D4632">
        <w:rPr>
          <w:rFonts w:ascii="Times New Roman" w:hAnsi="Times New Roman" w:cs="Times New Roman"/>
          <w:sz w:val="24"/>
          <w:szCs w:val="24"/>
        </w:rPr>
        <w:t>non-performing loan</w:t>
      </w:r>
      <w:r w:rsidR="003C2196">
        <w:rPr>
          <w:rFonts w:ascii="Times New Roman" w:hAnsi="Times New Roman" w:cs="Times New Roman"/>
          <w:sz w:val="24"/>
          <w:szCs w:val="24"/>
        </w:rPr>
        <w:t>s</w:t>
      </w:r>
      <w:r w:rsidRPr="003D4632">
        <w:rPr>
          <w:rFonts w:ascii="Times New Roman" w:hAnsi="Times New Roman" w:cs="Times New Roman"/>
          <w:sz w:val="24"/>
          <w:szCs w:val="24"/>
        </w:rPr>
        <w:t xml:space="preserve"> and advances as a loan facility whose credit quality has depreciated and </w:t>
      </w:r>
      <w:r w:rsidR="003C2196">
        <w:rPr>
          <w:rFonts w:ascii="Times New Roman" w:hAnsi="Times New Roman" w:cs="Times New Roman"/>
          <w:sz w:val="24"/>
          <w:szCs w:val="24"/>
        </w:rPr>
        <w:t xml:space="preserve">whose </w:t>
      </w:r>
      <w:r w:rsidRPr="003D4632">
        <w:rPr>
          <w:rFonts w:ascii="Times New Roman" w:hAnsi="Times New Roman" w:cs="Times New Roman"/>
          <w:sz w:val="24"/>
          <w:szCs w:val="24"/>
        </w:rPr>
        <w:t xml:space="preserve">full collection of </w:t>
      </w:r>
      <w:proofErr w:type="gramStart"/>
      <w:r w:rsidRPr="003D4632">
        <w:rPr>
          <w:rFonts w:ascii="Times New Roman" w:hAnsi="Times New Roman" w:cs="Times New Roman"/>
          <w:sz w:val="24"/>
          <w:szCs w:val="24"/>
        </w:rPr>
        <w:t>principal</w:t>
      </w:r>
      <w:proofErr w:type="gramEnd"/>
      <w:r w:rsidRPr="003D4632">
        <w:rPr>
          <w:rFonts w:ascii="Times New Roman" w:hAnsi="Times New Roman" w:cs="Times New Roman"/>
          <w:sz w:val="24"/>
          <w:szCs w:val="24"/>
        </w:rPr>
        <w:t xml:space="preserve"> and/or interest as per the contractual repayment terms of the loan and advances are uncertain. This definition appears narrow as </w:t>
      </w:r>
      <w:r w:rsidR="003C2196">
        <w:rPr>
          <w:rFonts w:ascii="Times New Roman" w:hAnsi="Times New Roman" w:cs="Times New Roman"/>
          <w:sz w:val="24"/>
          <w:szCs w:val="24"/>
        </w:rPr>
        <w:t xml:space="preserve">a </w:t>
      </w:r>
      <w:r w:rsidRPr="003D4632">
        <w:rPr>
          <w:rFonts w:ascii="Times New Roman" w:hAnsi="Times New Roman" w:cs="Times New Roman"/>
          <w:sz w:val="24"/>
          <w:szCs w:val="24"/>
        </w:rPr>
        <w:t xml:space="preserve">non-performing loan or impaired credit may deteriorate to a level in which the chances of recovery of both principal and interest are not only doubtful but very critical and impossible due to </w:t>
      </w:r>
      <w:r w:rsidR="003C2196">
        <w:rPr>
          <w:rFonts w:ascii="Times New Roman" w:hAnsi="Times New Roman" w:cs="Times New Roman"/>
          <w:sz w:val="24"/>
          <w:szCs w:val="24"/>
        </w:rPr>
        <w:t xml:space="preserve">the </w:t>
      </w:r>
      <w:r w:rsidRPr="003D4632">
        <w:rPr>
          <w:rFonts w:ascii="Times New Roman" w:hAnsi="Times New Roman" w:cs="Times New Roman"/>
          <w:sz w:val="24"/>
          <w:szCs w:val="24"/>
        </w:rPr>
        <w:t>inability of lenders to adhere strictly to credit guidelines. A loan is also regarded as non-performing when the principal or interest is due and unpaid for six months or more from the first day of default (Prudential Guidelines, 2014).</w:t>
      </w:r>
    </w:p>
    <w:p w14:paraId="75284FCE" w14:textId="77777777" w:rsidR="00FB3FAC" w:rsidRDefault="00FB3FAC" w:rsidP="00FB3FAC">
      <w:pPr>
        <w:spacing w:after="0" w:line="360" w:lineRule="auto"/>
        <w:jc w:val="both"/>
        <w:rPr>
          <w:rFonts w:ascii="Times New Roman" w:hAnsi="Times New Roman" w:cs="Times New Roman"/>
          <w:sz w:val="24"/>
          <w:szCs w:val="24"/>
        </w:rPr>
      </w:pPr>
    </w:p>
    <w:p w14:paraId="67971CD7" w14:textId="7D605EF8" w:rsidR="00703714" w:rsidRPr="003D4632" w:rsidRDefault="001C5BD4" w:rsidP="00FB3FAC">
      <w:pPr>
        <w:spacing w:after="0" w:line="360" w:lineRule="auto"/>
        <w:jc w:val="both"/>
        <w:rPr>
          <w:rFonts w:ascii="Times New Roman" w:hAnsi="Times New Roman" w:cs="Times New Roman"/>
          <w:b/>
          <w:bCs/>
          <w:sz w:val="24"/>
          <w:szCs w:val="24"/>
          <w:lang w:eastAsia="en-GB"/>
        </w:rPr>
      </w:pPr>
      <w:r w:rsidRPr="003D4632">
        <w:rPr>
          <w:rFonts w:ascii="Times New Roman" w:hAnsi="Times New Roman" w:cs="Times New Roman"/>
          <w:sz w:val="24"/>
          <w:szCs w:val="24"/>
        </w:rPr>
        <w:lastRenderedPageBreak/>
        <w:t xml:space="preserve">However, CBN prudential guidelines for deposit money banks classified non-performing loan facilities into three distinct groups namely, Substandard, Doubtful and Lost (El-Maude, et.al 2017). </w:t>
      </w:r>
      <w:r w:rsidR="003C2196">
        <w:rPr>
          <w:rFonts w:ascii="Times New Roman" w:hAnsi="Times New Roman" w:cs="Times New Roman"/>
          <w:sz w:val="24"/>
          <w:szCs w:val="24"/>
        </w:rPr>
        <w:t>The s</w:t>
      </w:r>
      <w:r w:rsidR="003C2196" w:rsidRPr="003D4632">
        <w:rPr>
          <w:rFonts w:ascii="Times New Roman" w:hAnsi="Times New Roman" w:cs="Times New Roman"/>
          <w:sz w:val="24"/>
          <w:szCs w:val="24"/>
        </w:rPr>
        <w:t>ub</w:t>
      </w:r>
      <w:r w:rsidRPr="003D4632">
        <w:rPr>
          <w:rFonts w:ascii="Times New Roman" w:hAnsi="Times New Roman" w:cs="Times New Roman"/>
          <w:sz w:val="24"/>
          <w:szCs w:val="24"/>
        </w:rPr>
        <w:t xml:space="preserve">-standard loan is where unpaid principal and/or interest remain outstanding for more than 90 days but less than 180 days. </w:t>
      </w:r>
      <w:r w:rsidR="003C2196">
        <w:rPr>
          <w:rFonts w:ascii="Times New Roman" w:hAnsi="Times New Roman" w:cs="Times New Roman"/>
          <w:sz w:val="24"/>
          <w:szCs w:val="24"/>
        </w:rPr>
        <w:t>The d</w:t>
      </w:r>
      <w:r w:rsidR="003C2196" w:rsidRPr="003D4632">
        <w:rPr>
          <w:rFonts w:ascii="Times New Roman" w:hAnsi="Times New Roman" w:cs="Times New Roman"/>
          <w:sz w:val="24"/>
          <w:szCs w:val="24"/>
        </w:rPr>
        <w:t xml:space="preserve">oubtful </w:t>
      </w:r>
      <w:r w:rsidRPr="003D4632">
        <w:rPr>
          <w:rFonts w:ascii="Times New Roman" w:hAnsi="Times New Roman" w:cs="Times New Roman"/>
          <w:sz w:val="24"/>
          <w:szCs w:val="24"/>
        </w:rPr>
        <w:t>loan is a situation where unpaid principal and /or interest remain outstanding for at least 180 days but less than 360 days (El-Maude, et.al, 2017).</w:t>
      </w:r>
      <w:r w:rsidRPr="003D4632">
        <w:rPr>
          <w:rStyle w:val="CommentReference"/>
          <w:rFonts w:ascii="Times New Roman" w:hAnsi="Times New Roman" w:cs="Times New Roman"/>
          <w:sz w:val="24"/>
          <w:szCs w:val="24"/>
        </w:rPr>
        <w:t xml:space="preserve"> Similarly,</w:t>
      </w:r>
      <w:r w:rsidRPr="003D4632">
        <w:rPr>
          <w:rFonts w:ascii="Times New Roman" w:hAnsi="Times New Roman" w:cs="Times New Roman"/>
          <w:sz w:val="24"/>
          <w:szCs w:val="24"/>
        </w:rPr>
        <w:t xml:space="preserve"> loan facility under the lost category refers to unpaid principal and /or interest outstanding for 360 days or more. Furthermore, for credit facilities categorized as Sub-standard, Doubtful or Lost, the CBN stipulates that interest unpaid for more than 90 days should be postponed and accepted on </w:t>
      </w:r>
      <w:r w:rsidR="003C2196">
        <w:rPr>
          <w:rFonts w:ascii="Times New Roman" w:hAnsi="Times New Roman" w:cs="Times New Roman"/>
          <w:sz w:val="24"/>
          <w:szCs w:val="24"/>
        </w:rPr>
        <w:t xml:space="preserve">a </w:t>
      </w:r>
      <w:r w:rsidRPr="003D4632">
        <w:rPr>
          <w:rFonts w:ascii="Times New Roman" w:hAnsi="Times New Roman" w:cs="Times New Roman"/>
          <w:sz w:val="24"/>
          <w:szCs w:val="24"/>
        </w:rPr>
        <w:t xml:space="preserve">cash basis only </w:t>
      </w:r>
      <w:r w:rsidR="005B32EF">
        <w:rPr>
          <w:rFonts w:ascii="Times New Roman" w:hAnsi="Times New Roman" w:cs="Times New Roman"/>
          <w:sz w:val="24"/>
          <w:szCs w:val="24"/>
        </w:rPr>
        <w:t>while</w:t>
      </w:r>
      <w:r w:rsidRPr="003D4632">
        <w:rPr>
          <w:rFonts w:ascii="Times New Roman" w:hAnsi="Times New Roman" w:cs="Times New Roman"/>
          <w:sz w:val="24"/>
          <w:szCs w:val="24"/>
        </w:rPr>
        <w:t xml:space="preserve"> the principal </w:t>
      </w:r>
      <w:r w:rsidR="005B32EF">
        <w:rPr>
          <w:rFonts w:ascii="Times New Roman" w:hAnsi="Times New Roman" w:cs="Times New Roman"/>
          <w:sz w:val="24"/>
          <w:szCs w:val="24"/>
        </w:rPr>
        <w:t xml:space="preserve">that has </w:t>
      </w:r>
      <w:proofErr w:type="gramStart"/>
      <w:r w:rsidR="005B32EF">
        <w:rPr>
          <w:rFonts w:ascii="Times New Roman" w:hAnsi="Times New Roman" w:cs="Times New Roman"/>
          <w:sz w:val="24"/>
          <w:szCs w:val="24"/>
        </w:rPr>
        <w:t xml:space="preserve">remained </w:t>
      </w:r>
      <w:r w:rsidRPr="003D4632">
        <w:rPr>
          <w:rFonts w:ascii="Times New Roman" w:hAnsi="Times New Roman" w:cs="Times New Roman"/>
          <w:sz w:val="24"/>
          <w:szCs w:val="24"/>
        </w:rPr>
        <w:t xml:space="preserve"> unpaid</w:t>
      </w:r>
      <w:proofErr w:type="gramEnd"/>
      <w:r w:rsidRPr="003D4632">
        <w:rPr>
          <w:rFonts w:ascii="Times New Roman" w:hAnsi="Times New Roman" w:cs="Times New Roman"/>
          <w:sz w:val="24"/>
          <w:szCs w:val="24"/>
        </w:rPr>
        <w:t xml:space="preserve"> </w:t>
      </w:r>
      <w:r w:rsidR="005B32EF">
        <w:rPr>
          <w:rFonts w:ascii="Times New Roman" w:hAnsi="Times New Roman" w:cs="Times New Roman"/>
          <w:sz w:val="24"/>
          <w:szCs w:val="24"/>
        </w:rPr>
        <w:t>for</w:t>
      </w:r>
      <w:r w:rsidRPr="003D4632">
        <w:rPr>
          <w:rFonts w:ascii="Times New Roman" w:hAnsi="Times New Roman" w:cs="Times New Roman"/>
          <w:sz w:val="24"/>
          <w:szCs w:val="24"/>
        </w:rPr>
        <w:t xml:space="preserve"> more than 90 days</w:t>
      </w:r>
      <w:r w:rsidR="005B32EF">
        <w:rPr>
          <w:rStyle w:val="CommentReference"/>
        </w:rPr>
        <w:t xml:space="preserve"> </w:t>
      </w:r>
      <w:r w:rsidR="005B32EF">
        <w:rPr>
          <w:rFonts w:ascii="Times New Roman" w:hAnsi="Times New Roman" w:cs="Times New Roman"/>
          <w:sz w:val="24"/>
          <w:szCs w:val="24"/>
        </w:rPr>
        <w:t xml:space="preserve"> must </w:t>
      </w:r>
      <w:r w:rsidRPr="003D4632">
        <w:rPr>
          <w:rFonts w:ascii="Times New Roman" w:hAnsi="Times New Roman" w:cs="Times New Roman"/>
          <w:sz w:val="24"/>
          <w:szCs w:val="24"/>
        </w:rPr>
        <w:t>be fully provided for and accepted on cash basis only (CBN Annual Report, 2014).</w:t>
      </w:r>
    </w:p>
    <w:p w14:paraId="5BCD1C8E" w14:textId="77777777" w:rsidR="00FB3FAC" w:rsidRDefault="00FB3FAC" w:rsidP="00FB3FAC">
      <w:pPr>
        <w:spacing w:after="0" w:line="360" w:lineRule="auto"/>
        <w:rPr>
          <w:rFonts w:ascii="Times New Roman" w:hAnsi="Times New Roman" w:cs="Times New Roman"/>
          <w:b/>
          <w:bCs/>
          <w:sz w:val="24"/>
          <w:szCs w:val="24"/>
          <w:lang w:eastAsia="en-GB"/>
        </w:rPr>
      </w:pPr>
    </w:p>
    <w:p w14:paraId="775E1C71" w14:textId="0F200E31" w:rsidR="00703714" w:rsidRPr="003D4632" w:rsidRDefault="003B40D3" w:rsidP="00FB3FAC">
      <w:pPr>
        <w:spacing w:after="0" w:line="360" w:lineRule="auto"/>
        <w:rPr>
          <w:rFonts w:ascii="Times New Roman" w:hAnsi="Times New Roman" w:cs="Times New Roman"/>
          <w:b/>
          <w:bCs/>
          <w:sz w:val="24"/>
          <w:szCs w:val="24"/>
          <w:lang w:eastAsia="en-GB"/>
        </w:rPr>
      </w:pPr>
      <w:r w:rsidRPr="003D4632">
        <w:rPr>
          <w:rFonts w:ascii="Times New Roman" w:hAnsi="Times New Roman" w:cs="Times New Roman"/>
          <w:b/>
          <w:bCs/>
          <w:sz w:val="24"/>
          <w:szCs w:val="24"/>
          <w:lang w:eastAsia="en-GB"/>
        </w:rPr>
        <w:t xml:space="preserve">Ownership Concentration </w:t>
      </w:r>
    </w:p>
    <w:p w14:paraId="4EC76DC8" w14:textId="04EBC1FD" w:rsidR="00DE702A" w:rsidRDefault="00535791" w:rsidP="00FB3FAC">
      <w:pPr>
        <w:spacing w:after="0" w:line="360" w:lineRule="auto"/>
        <w:jc w:val="both"/>
        <w:rPr>
          <w:rFonts w:ascii="Times New Roman" w:hAnsi="Times New Roman" w:cs="Times New Roman"/>
          <w:b/>
          <w:bCs/>
          <w:sz w:val="24"/>
          <w:szCs w:val="24"/>
        </w:rPr>
      </w:pPr>
      <w:r w:rsidRPr="003D4632">
        <w:rPr>
          <w:rFonts w:ascii="Times New Roman" w:hAnsi="Times New Roman" w:cs="Times New Roman"/>
          <w:bCs/>
          <w:sz w:val="24"/>
          <w:szCs w:val="24"/>
        </w:rPr>
        <w:t xml:space="preserve">Ownership </w:t>
      </w:r>
      <w:r w:rsidR="003B40D3" w:rsidRPr="003D4632">
        <w:rPr>
          <w:rFonts w:ascii="Times New Roman" w:hAnsi="Times New Roman" w:cs="Times New Roman"/>
          <w:bCs/>
          <w:sz w:val="24"/>
          <w:szCs w:val="24"/>
        </w:rPr>
        <w:t>concentration refers to the share of the largest owner</w:t>
      </w:r>
      <w:r w:rsidR="00F01761" w:rsidRPr="003D4632">
        <w:rPr>
          <w:rFonts w:ascii="Times New Roman" w:hAnsi="Times New Roman" w:cs="Times New Roman"/>
          <w:bCs/>
          <w:sz w:val="24"/>
          <w:szCs w:val="24"/>
        </w:rPr>
        <w:t xml:space="preserve"> while</w:t>
      </w:r>
      <w:r w:rsidR="003B40D3" w:rsidRPr="003D4632">
        <w:rPr>
          <w:rFonts w:ascii="Times New Roman" w:hAnsi="Times New Roman" w:cs="Times New Roman"/>
          <w:bCs/>
          <w:sz w:val="24"/>
          <w:szCs w:val="24"/>
        </w:rPr>
        <w:t xml:space="preserve"> ownership mix relates to the identity of the major shareholder such as ownership concentration, foreign ownership, domestic ownership and the like, (</w:t>
      </w:r>
      <w:proofErr w:type="spellStart"/>
      <w:r w:rsidR="003B40D3" w:rsidRPr="003D4632">
        <w:rPr>
          <w:rFonts w:ascii="Times New Roman" w:hAnsi="Times New Roman" w:cs="Times New Roman"/>
          <w:bCs/>
          <w:sz w:val="24"/>
          <w:szCs w:val="24"/>
        </w:rPr>
        <w:t>Anstoniadis</w:t>
      </w:r>
      <w:proofErr w:type="spellEnd"/>
      <w:r w:rsidR="003B40D3" w:rsidRPr="003D4632">
        <w:rPr>
          <w:rFonts w:ascii="Times New Roman" w:hAnsi="Times New Roman" w:cs="Times New Roman"/>
          <w:bCs/>
          <w:sz w:val="24"/>
          <w:szCs w:val="24"/>
        </w:rPr>
        <w:t>, 2010; Wen, 2013;).</w:t>
      </w:r>
      <w:r w:rsidR="004432C7" w:rsidRPr="003D4632">
        <w:rPr>
          <w:rFonts w:ascii="Times New Roman" w:hAnsi="Times New Roman" w:cs="Times New Roman"/>
          <w:bCs/>
          <w:sz w:val="24"/>
          <w:szCs w:val="24"/>
        </w:rPr>
        <w:t xml:space="preserve"> </w:t>
      </w:r>
      <w:r w:rsidR="006463C5" w:rsidRPr="003D4632">
        <w:rPr>
          <w:rFonts w:ascii="Times New Roman" w:hAnsi="Times New Roman" w:cs="Times New Roman"/>
          <w:sz w:val="24"/>
          <w:szCs w:val="24"/>
        </w:rPr>
        <w:t xml:space="preserve">According to Maina (2014), Benjamin and Dirk (2015) and </w:t>
      </w:r>
      <w:r w:rsidR="00244D06">
        <w:rPr>
          <w:rFonts w:ascii="Times New Roman" w:hAnsi="Times New Roman" w:cs="Times New Roman"/>
          <w:sz w:val="24"/>
          <w:szCs w:val="24"/>
        </w:rPr>
        <w:t>Fawad</w:t>
      </w:r>
      <w:r w:rsidR="00EF5957">
        <w:rPr>
          <w:rFonts w:ascii="Times New Roman" w:hAnsi="Times New Roman" w:cs="Times New Roman"/>
          <w:sz w:val="24"/>
          <w:szCs w:val="24"/>
        </w:rPr>
        <w:t xml:space="preserve"> </w:t>
      </w:r>
      <w:r w:rsidR="006463C5" w:rsidRPr="003D4632">
        <w:rPr>
          <w:rFonts w:ascii="Times New Roman" w:hAnsi="Times New Roman" w:cs="Times New Roman"/>
          <w:sz w:val="24"/>
          <w:szCs w:val="24"/>
        </w:rPr>
        <w:t>(201</w:t>
      </w:r>
      <w:r w:rsidR="00244D06">
        <w:rPr>
          <w:rFonts w:ascii="Times New Roman" w:hAnsi="Times New Roman" w:cs="Times New Roman"/>
          <w:sz w:val="24"/>
          <w:szCs w:val="24"/>
        </w:rPr>
        <w:t>3</w:t>
      </w:r>
      <w:r w:rsidR="006463C5" w:rsidRPr="003D4632">
        <w:rPr>
          <w:rFonts w:ascii="Times New Roman" w:hAnsi="Times New Roman" w:cs="Times New Roman"/>
          <w:sz w:val="24"/>
          <w:szCs w:val="24"/>
        </w:rPr>
        <w:t>)</w:t>
      </w:r>
      <w:r w:rsidR="00F01761" w:rsidRPr="003D4632">
        <w:rPr>
          <w:rFonts w:ascii="Times New Roman" w:hAnsi="Times New Roman" w:cs="Times New Roman"/>
          <w:sz w:val="24"/>
          <w:szCs w:val="24"/>
        </w:rPr>
        <w:t>,</w:t>
      </w:r>
      <w:r w:rsidR="006463C5" w:rsidRPr="003D4632">
        <w:rPr>
          <w:rFonts w:ascii="Times New Roman" w:hAnsi="Times New Roman" w:cs="Times New Roman"/>
          <w:sz w:val="24"/>
          <w:szCs w:val="24"/>
        </w:rPr>
        <w:t xml:space="preserve"> concentrated ownership is defined by the distribution of stakes in relation to the distinctiveness of the equity holders and its classification within </w:t>
      </w:r>
      <w:r w:rsidR="003C2196">
        <w:rPr>
          <w:rFonts w:ascii="Times New Roman" w:hAnsi="Times New Roman" w:cs="Times New Roman"/>
          <w:sz w:val="24"/>
          <w:szCs w:val="24"/>
        </w:rPr>
        <w:t xml:space="preserve">the </w:t>
      </w:r>
      <w:r w:rsidR="006463C5" w:rsidRPr="003D4632">
        <w:rPr>
          <w:rFonts w:ascii="Times New Roman" w:hAnsi="Times New Roman" w:cs="Times New Roman"/>
          <w:sz w:val="24"/>
          <w:szCs w:val="24"/>
        </w:rPr>
        <w:t xml:space="preserve">company’s governance structure that has impacted </w:t>
      </w:r>
      <w:r w:rsidR="003C2196">
        <w:rPr>
          <w:rFonts w:ascii="Times New Roman" w:hAnsi="Times New Roman" w:cs="Times New Roman"/>
          <w:sz w:val="24"/>
          <w:szCs w:val="24"/>
        </w:rPr>
        <w:t xml:space="preserve">the </w:t>
      </w:r>
      <w:r w:rsidR="006463C5" w:rsidRPr="003D4632">
        <w:rPr>
          <w:rFonts w:ascii="Times New Roman" w:hAnsi="Times New Roman" w:cs="Times New Roman"/>
          <w:sz w:val="24"/>
          <w:szCs w:val="24"/>
        </w:rPr>
        <w:t>firm financial performance for several decade</w:t>
      </w:r>
      <w:r w:rsidR="00F01761" w:rsidRPr="003D4632">
        <w:rPr>
          <w:rFonts w:ascii="Times New Roman" w:hAnsi="Times New Roman" w:cs="Times New Roman"/>
          <w:sz w:val="24"/>
          <w:szCs w:val="24"/>
        </w:rPr>
        <w:t>s</w:t>
      </w:r>
      <w:r w:rsidR="006463C5" w:rsidRPr="003D4632">
        <w:rPr>
          <w:rFonts w:ascii="Times New Roman" w:hAnsi="Times New Roman" w:cs="Times New Roman"/>
          <w:sz w:val="24"/>
          <w:szCs w:val="24"/>
        </w:rPr>
        <w:t>.</w:t>
      </w:r>
      <w:r w:rsidR="00F01761" w:rsidRPr="003D4632">
        <w:rPr>
          <w:rFonts w:ascii="Times New Roman" w:hAnsi="Times New Roman" w:cs="Times New Roman"/>
          <w:sz w:val="24"/>
          <w:szCs w:val="24"/>
        </w:rPr>
        <w:t xml:space="preserve"> Similarly,</w:t>
      </w:r>
      <w:r w:rsidR="00995F78" w:rsidRPr="003D4632">
        <w:rPr>
          <w:rFonts w:ascii="Times New Roman" w:hAnsi="Times New Roman" w:cs="Times New Roman"/>
          <w:sz w:val="24"/>
          <w:szCs w:val="24"/>
        </w:rPr>
        <w:t xml:space="preserve"> </w:t>
      </w:r>
      <w:proofErr w:type="spellStart"/>
      <w:r w:rsidR="00995F78" w:rsidRPr="003D4632">
        <w:rPr>
          <w:rStyle w:val="markedcontent"/>
          <w:rFonts w:ascii="Times New Roman" w:hAnsi="Times New Roman" w:cs="Times New Roman"/>
          <w:sz w:val="24"/>
          <w:szCs w:val="24"/>
        </w:rPr>
        <w:t>Ritcher</w:t>
      </w:r>
      <w:proofErr w:type="spellEnd"/>
      <w:r w:rsidR="00995F78" w:rsidRPr="003D4632">
        <w:rPr>
          <w:rFonts w:ascii="Times New Roman" w:hAnsi="Times New Roman" w:cs="Times New Roman"/>
          <w:sz w:val="24"/>
          <w:szCs w:val="24"/>
        </w:rPr>
        <w:t xml:space="preserve"> </w:t>
      </w:r>
      <w:r w:rsidR="00995F78" w:rsidRPr="003D4632">
        <w:rPr>
          <w:rStyle w:val="markedcontent"/>
          <w:rFonts w:ascii="Times New Roman" w:hAnsi="Times New Roman" w:cs="Times New Roman"/>
          <w:sz w:val="24"/>
          <w:szCs w:val="24"/>
        </w:rPr>
        <w:t>and Weiss (2013) define ownership concentration as the allocation of</w:t>
      </w:r>
      <w:r w:rsidR="00995F78" w:rsidRPr="003D4632">
        <w:rPr>
          <w:rFonts w:ascii="Times New Roman" w:hAnsi="Times New Roman" w:cs="Times New Roman"/>
          <w:sz w:val="24"/>
          <w:szCs w:val="24"/>
        </w:rPr>
        <w:t xml:space="preserve"> </w:t>
      </w:r>
      <w:r w:rsidR="00995F78" w:rsidRPr="003D4632">
        <w:rPr>
          <w:rStyle w:val="markedcontent"/>
          <w:rFonts w:ascii="Times New Roman" w:hAnsi="Times New Roman" w:cs="Times New Roman"/>
          <w:sz w:val="24"/>
          <w:szCs w:val="24"/>
        </w:rPr>
        <w:t>ownership rights among different parties who own the firm collectively.</w:t>
      </w:r>
      <w:r w:rsidR="000E0986" w:rsidRPr="003D4632">
        <w:rPr>
          <w:rStyle w:val="markedcontent"/>
          <w:rFonts w:ascii="Times New Roman" w:hAnsi="Times New Roman" w:cs="Times New Roman"/>
          <w:sz w:val="24"/>
          <w:szCs w:val="24"/>
        </w:rPr>
        <w:br/>
        <w:t>The measurement of the ownership concentration is calculated by the</w:t>
      </w:r>
      <w:r w:rsidR="000E0986" w:rsidRPr="003D4632">
        <w:rPr>
          <w:rFonts w:ascii="Times New Roman" w:hAnsi="Times New Roman" w:cs="Times New Roman"/>
          <w:sz w:val="24"/>
          <w:szCs w:val="24"/>
        </w:rPr>
        <w:t xml:space="preserve"> </w:t>
      </w:r>
      <w:r w:rsidR="000E0986" w:rsidRPr="003D4632">
        <w:rPr>
          <w:rStyle w:val="markedcontent"/>
          <w:rFonts w:ascii="Times New Roman" w:hAnsi="Times New Roman" w:cs="Times New Roman"/>
          <w:sz w:val="24"/>
          <w:szCs w:val="24"/>
        </w:rPr>
        <w:t>percentage of total shareholding by the firm</w:t>
      </w:r>
      <w:r w:rsidR="003C2196">
        <w:rPr>
          <w:rStyle w:val="markedcontent"/>
          <w:rFonts w:ascii="Times New Roman" w:hAnsi="Times New Roman" w:cs="Times New Roman"/>
          <w:sz w:val="24"/>
          <w:szCs w:val="24"/>
        </w:rPr>
        <w:t>'</w:t>
      </w:r>
      <w:r w:rsidR="000E0986" w:rsidRPr="003D4632">
        <w:rPr>
          <w:rStyle w:val="markedcontent"/>
          <w:rFonts w:ascii="Times New Roman" w:hAnsi="Times New Roman" w:cs="Times New Roman"/>
          <w:sz w:val="24"/>
          <w:szCs w:val="24"/>
        </w:rPr>
        <w:t xml:space="preserve">s top five shareholders. A block holder is the </w:t>
      </w:r>
      <w:r w:rsidR="003C2196" w:rsidRPr="003D4632">
        <w:rPr>
          <w:rStyle w:val="markedcontent"/>
          <w:rFonts w:ascii="Times New Roman" w:hAnsi="Times New Roman" w:cs="Times New Roman"/>
          <w:sz w:val="24"/>
          <w:szCs w:val="24"/>
        </w:rPr>
        <w:t>pe</w:t>
      </w:r>
      <w:r w:rsidR="003C2196">
        <w:rPr>
          <w:rStyle w:val="markedcontent"/>
          <w:rFonts w:ascii="Times New Roman" w:hAnsi="Times New Roman" w:cs="Times New Roman"/>
          <w:sz w:val="24"/>
          <w:szCs w:val="24"/>
        </w:rPr>
        <w:t>rson</w:t>
      </w:r>
      <w:r w:rsidR="003C2196" w:rsidRPr="003D4632">
        <w:rPr>
          <w:rStyle w:val="markedcontent"/>
          <w:rFonts w:ascii="Times New Roman" w:hAnsi="Times New Roman" w:cs="Times New Roman"/>
          <w:sz w:val="24"/>
          <w:szCs w:val="24"/>
        </w:rPr>
        <w:t xml:space="preserve"> </w:t>
      </w:r>
      <w:r w:rsidR="000E0986" w:rsidRPr="003D4632">
        <w:rPr>
          <w:rStyle w:val="markedcontent"/>
          <w:rFonts w:ascii="Times New Roman" w:hAnsi="Times New Roman" w:cs="Times New Roman"/>
          <w:sz w:val="24"/>
          <w:szCs w:val="24"/>
        </w:rPr>
        <w:t>that own</w:t>
      </w:r>
      <w:r w:rsidR="003C2196">
        <w:rPr>
          <w:rStyle w:val="markedcontent"/>
          <w:rFonts w:ascii="Times New Roman" w:hAnsi="Times New Roman" w:cs="Times New Roman"/>
          <w:sz w:val="24"/>
          <w:szCs w:val="24"/>
        </w:rPr>
        <w:t>s</w:t>
      </w:r>
      <w:r w:rsidR="000E0986" w:rsidRPr="003D4632">
        <w:rPr>
          <w:rStyle w:val="markedcontent"/>
          <w:rFonts w:ascii="Times New Roman" w:hAnsi="Times New Roman" w:cs="Times New Roman"/>
          <w:sz w:val="24"/>
          <w:szCs w:val="24"/>
        </w:rPr>
        <w:t xml:space="preserve"> more than five percent of the </w:t>
      </w:r>
      <w:r w:rsidR="00297ADC" w:rsidRPr="003D4632">
        <w:rPr>
          <w:rStyle w:val="markedcontent"/>
          <w:rFonts w:ascii="Times New Roman" w:hAnsi="Times New Roman" w:cs="Times New Roman"/>
          <w:sz w:val="24"/>
          <w:szCs w:val="24"/>
        </w:rPr>
        <w:t>firm’s</w:t>
      </w:r>
      <w:r w:rsidR="000E0986" w:rsidRPr="003D4632">
        <w:rPr>
          <w:rStyle w:val="markedcontent"/>
          <w:rFonts w:ascii="Times New Roman" w:hAnsi="Times New Roman" w:cs="Times New Roman"/>
          <w:sz w:val="24"/>
          <w:szCs w:val="24"/>
        </w:rPr>
        <w:t xml:space="preserve"> equity or share (Javid &amp; Iqbal, 2010).</w:t>
      </w:r>
      <w:r w:rsidR="00297ADC" w:rsidRPr="003D4632">
        <w:rPr>
          <w:rStyle w:val="markedcontent"/>
          <w:rFonts w:ascii="Times New Roman" w:hAnsi="Times New Roman" w:cs="Times New Roman"/>
          <w:sz w:val="24"/>
          <w:szCs w:val="24"/>
        </w:rPr>
        <w:t xml:space="preserve"> </w:t>
      </w:r>
      <w:r w:rsidR="00DE702A" w:rsidRPr="003D4632">
        <w:rPr>
          <w:rFonts w:ascii="Times New Roman" w:hAnsi="Times New Roman" w:cs="Times New Roman"/>
          <w:sz w:val="24"/>
          <w:szCs w:val="24"/>
        </w:rPr>
        <w:t>According to them, three basic</w:t>
      </w:r>
      <w:r w:rsidR="001F0B84" w:rsidRPr="003D4632">
        <w:rPr>
          <w:rFonts w:ascii="Times New Roman" w:hAnsi="Times New Roman" w:cs="Times New Roman"/>
          <w:sz w:val="24"/>
          <w:szCs w:val="24"/>
        </w:rPr>
        <w:t xml:space="preserve"> </w:t>
      </w:r>
      <w:r w:rsidR="00DE702A" w:rsidRPr="003D4632">
        <w:rPr>
          <w:rFonts w:ascii="Times New Roman" w:hAnsi="Times New Roman" w:cs="Times New Roman"/>
          <w:sz w:val="24"/>
          <w:szCs w:val="24"/>
        </w:rPr>
        <w:t>types of ownership concentration have been identified in the extant literature</w:t>
      </w:r>
      <w:r w:rsidR="006463C5" w:rsidRPr="003D4632">
        <w:rPr>
          <w:rFonts w:ascii="Times New Roman" w:hAnsi="Times New Roman" w:cs="Times New Roman"/>
          <w:sz w:val="24"/>
          <w:szCs w:val="24"/>
        </w:rPr>
        <w:t xml:space="preserve"> </w:t>
      </w:r>
      <w:r w:rsidR="00DE702A" w:rsidRPr="003D4632">
        <w:rPr>
          <w:rFonts w:ascii="Times New Roman" w:hAnsi="Times New Roman" w:cs="Times New Roman"/>
          <w:sz w:val="24"/>
          <w:szCs w:val="24"/>
        </w:rPr>
        <w:t xml:space="preserve">which </w:t>
      </w:r>
      <w:r w:rsidR="00A224B9">
        <w:rPr>
          <w:rFonts w:ascii="Times New Roman" w:hAnsi="Times New Roman" w:cs="Times New Roman"/>
          <w:sz w:val="24"/>
          <w:szCs w:val="24"/>
        </w:rPr>
        <w:t>include</w:t>
      </w:r>
      <w:r w:rsidR="00DE702A" w:rsidRPr="003D4632">
        <w:rPr>
          <w:rFonts w:ascii="Times New Roman" w:hAnsi="Times New Roman" w:cs="Times New Roman"/>
          <w:sz w:val="24"/>
          <w:szCs w:val="24"/>
        </w:rPr>
        <w:t>:</w:t>
      </w:r>
      <w:r w:rsidR="00AA7C4F" w:rsidRPr="003D4632">
        <w:rPr>
          <w:rFonts w:ascii="Times New Roman" w:hAnsi="Times New Roman" w:cs="Times New Roman"/>
          <w:sz w:val="24"/>
          <w:szCs w:val="24"/>
        </w:rPr>
        <w:t xml:space="preserve"> </w:t>
      </w:r>
      <w:r w:rsidR="00A55B26" w:rsidRPr="003D4632">
        <w:rPr>
          <w:rFonts w:ascii="Times New Roman" w:hAnsi="Times New Roman" w:cs="Times New Roman"/>
          <w:sz w:val="24"/>
          <w:szCs w:val="24"/>
        </w:rPr>
        <w:t xml:space="preserve">Block ownership concentration denotes </w:t>
      </w:r>
      <w:r w:rsidR="003C2196">
        <w:rPr>
          <w:rFonts w:ascii="Times New Roman" w:hAnsi="Times New Roman" w:cs="Times New Roman"/>
          <w:sz w:val="24"/>
          <w:szCs w:val="24"/>
        </w:rPr>
        <w:t xml:space="preserve">the </w:t>
      </w:r>
      <w:r w:rsidR="00A55B26" w:rsidRPr="003D4632">
        <w:rPr>
          <w:rFonts w:ascii="Times New Roman" w:hAnsi="Times New Roman" w:cs="Times New Roman"/>
          <w:sz w:val="24"/>
          <w:szCs w:val="24"/>
        </w:rPr>
        <w:t xml:space="preserve">proportion of a firm’s equity acquired by major equity holders. A major acquisition of equity intends to provide </w:t>
      </w:r>
      <w:r w:rsidR="003C2196">
        <w:rPr>
          <w:rFonts w:ascii="Times New Roman" w:hAnsi="Times New Roman" w:cs="Times New Roman"/>
          <w:sz w:val="24"/>
          <w:szCs w:val="24"/>
        </w:rPr>
        <w:t xml:space="preserve">an </w:t>
      </w:r>
      <w:r w:rsidR="00A55B26" w:rsidRPr="003D4632">
        <w:rPr>
          <w:rFonts w:ascii="Times New Roman" w:hAnsi="Times New Roman" w:cs="Times New Roman"/>
          <w:sz w:val="24"/>
          <w:szCs w:val="24"/>
        </w:rPr>
        <w:t xml:space="preserve">additional burden on agents to act in manners that are </w:t>
      </w:r>
      <w:r w:rsidR="003C2196" w:rsidRPr="003D4632">
        <w:rPr>
          <w:rFonts w:ascii="Times New Roman" w:hAnsi="Times New Roman" w:cs="Times New Roman"/>
          <w:sz w:val="24"/>
          <w:szCs w:val="24"/>
        </w:rPr>
        <w:t>profit</w:t>
      </w:r>
      <w:r w:rsidR="003C2196">
        <w:rPr>
          <w:rFonts w:ascii="Times New Roman" w:hAnsi="Times New Roman" w:cs="Times New Roman"/>
          <w:sz w:val="24"/>
          <w:szCs w:val="24"/>
        </w:rPr>
        <w:t>-</w:t>
      </w:r>
      <w:r w:rsidR="00A55B26" w:rsidRPr="003D4632">
        <w:rPr>
          <w:rFonts w:ascii="Times New Roman" w:hAnsi="Times New Roman" w:cs="Times New Roman"/>
          <w:sz w:val="24"/>
          <w:szCs w:val="24"/>
        </w:rPr>
        <w:t>optimizing (</w:t>
      </w:r>
      <w:r w:rsidR="00244D06">
        <w:rPr>
          <w:rFonts w:ascii="Times New Roman" w:hAnsi="Times New Roman" w:cs="Times New Roman"/>
          <w:sz w:val="24"/>
          <w:szCs w:val="24"/>
        </w:rPr>
        <w:t>Fawad</w:t>
      </w:r>
      <w:r w:rsidR="00A55B26" w:rsidRPr="003D4632">
        <w:rPr>
          <w:rFonts w:ascii="Times New Roman" w:hAnsi="Times New Roman" w:cs="Times New Roman"/>
          <w:sz w:val="24"/>
          <w:szCs w:val="24"/>
        </w:rPr>
        <w:t>, 201</w:t>
      </w:r>
      <w:r w:rsidR="00244D06">
        <w:rPr>
          <w:rFonts w:ascii="Times New Roman" w:hAnsi="Times New Roman" w:cs="Times New Roman"/>
          <w:sz w:val="24"/>
          <w:szCs w:val="24"/>
        </w:rPr>
        <w:t>3</w:t>
      </w:r>
      <w:r w:rsidR="00A55B26" w:rsidRPr="003D4632">
        <w:rPr>
          <w:rFonts w:ascii="Times New Roman" w:hAnsi="Times New Roman" w:cs="Times New Roman"/>
          <w:sz w:val="24"/>
          <w:szCs w:val="24"/>
        </w:rPr>
        <w:t xml:space="preserve">). </w:t>
      </w:r>
      <w:r w:rsidR="00DE702A" w:rsidRPr="003D4632">
        <w:rPr>
          <w:rFonts w:ascii="Times New Roman" w:hAnsi="Times New Roman" w:cs="Times New Roman"/>
          <w:b/>
          <w:bCs/>
          <w:sz w:val="24"/>
          <w:szCs w:val="24"/>
        </w:rPr>
        <w:t xml:space="preserve"> </w:t>
      </w:r>
    </w:p>
    <w:p w14:paraId="637DBDE8" w14:textId="77777777" w:rsidR="00FB3FAC" w:rsidRPr="003D4632" w:rsidRDefault="00FB3FAC" w:rsidP="00FB3FAC">
      <w:pPr>
        <w:spacing w:after="0" w:line="360" w:lineRule="auto"/>
        <w:jc w:val="both"/>
        <w:rPr>
          <w:rFonts w:ascii="Times New Roman" w:hAnsi="Times New Roman" w:cs="Times New Roman"/>
          <w:sz w:val="24"/>
          <w:szCs w:val="24"/>
        </w:rPr>
      </w:pPr>
    </w:p>
    <w:p w14:paraId="7E946165" w14:textId="6AE7B8EE" w:rsidR="001F0B84" w:rsidRDefault="00632423" w:rsidP="00FB3FA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297ADC" w:rsidRPr="003D4632">
        <w:rPr>
          <w:rFonts w:ascii="Times New Roman" w:hAnsi="Times New Roman" w:cs="Times New Roman"/>
          <w:sz w:val="24"/>
          <w:szCs w:val="24"/>
        </w:rPr>
        <w:t>n a related study</w:t>
      </w:r>
      <w:r>
        <w:rPr>
          <w:rFonts w:ascii="Times New Roman" w:hAnsi="Times New Roman" w:cs="Times New Roman"/>
          <w:sz w:val="24"/>
          <w:szCs w:val="24"/>
        </w:rPr>
        <w:t xml:space="preserve">, </w:t>
      </w:r>
      <w:r w:rsidRPr="003D4632">
        <w:rPr>
          <w:rFonts w:ascii="Times New Roman" w:hAnsi="Times New Roman" w:cs="Times New Roman"/>
          <w:sz w:val="24"/>
          <w:szCs w:val="24"/>
        </w:rPr>
        <w:t xml:space="preserve">Ajao </w:t>
      </w:r>
      <w:r>
        <w:rPr>
          <w:rFonts w:ascii="Times New Roman" w:hAnsi="Times New Roman" w:cs="Times New Roman"/>
          <w:sz w:val="24"/>
          <w:szCs w:val="24"/>
        </w:rPr>
        <w:t>and</w:t>
      </w:r>
      <w:r w:rsidRPr="003D4632">
        <w:rPr>
          <w:rFonts w:ascii="Times New Roman" w:hAnsi="Times New Roman" w:cs="Times New Roman"/>
          <w:sz w:val="24"/>
          <w:szCs w:val="24"/>
        </w:rPr>
        <w:t xml:space="preserve"> </w:t>
      </w:r>
      <w:proofErr w:type="spellStart"/>
      <w:r w:rsidRPr="003D4632">
        <w:rPr>
          <w:rFonts w:ascii="Times New Roman" w:hAnsi="Times New Roman" w:cs="Times New Roman"/>
          <w:sz w:val="24"/>
          <w:szCs w:val="24"/>
        </w:rPr>
        <w:t>Ejokehuma</w:t>
      </w:r>
      <w:proofErr w:type="spellEnd"/>
      <w:r w:rsidRPr="003D4632">
        <w:rPr>
          <w:rFonts w:ascii="Times New Roman" w:hAnsi="Times New Roman" w:cs="Times New Roman"/>
          <w:sz w:val="24"/>
          <w:szCs w:val="24"/>
        </w:rPr>
        <w:t>,</w:t>
      </w:r>
      <w:r>
        <w:rPr>
          <w:rFonts w:ascii="Times New Roman" w:hAnsi="Times New Roman" w:cs="Times New Roman"/>
          <w:sz w:val="24"/>
          <w:szCs w:val="24"/>
        </w:rPr>
        <w:t xml:space="preserve"> (</w:t>
      </w:r>
      <w:r w:rsidRPr="003D4632">
        <w:rPr>
          <w:rFonts w:ascii="Times New Roman" w:hAnsi="Times New Roman" w:cs="Times New Roman"/>
          <w:sz w:val="24"/>
          <w:szCs w:val="24"/>
        </w:rPr>
        <w:t>2020)</w:t>
      </w:r>
      <w:r>
        <w:rPr>
          <w:rFonts w:ascii="Times New Roman" w:hAnsi="Times New Roman" w:cs="Times New Roman"/>
          <w:sz w:val="24"/>
          <w:szCs w:val="24"/>
        </w:rPr>
        <w:t xml:space="preserve"> observed</w:t>
      </w:r>
      <w:r w:rsidRPr="003D4632">
        <w:rPr>
          <w:rFonts w:ascii="Times New Roman" w:hAnsi="Times New Roman" w:cs="Times New Roman"/>
          <w:sz w:val="24"/>
          <w:szCs w:val="24"/>
        </w:rPr>
        <w:t xml:space="preserve"> </w:t>
      </w:r>
      <w:r w:rsidR="00E82E8F" w:rsidRPr="003D4632">
        <w:rPr>
          <w:rFonts w:ascii="Times New Roman" w:hAnsi="Times New Roman" w:cs="Times New Roman"/>
          <w:sz w:val="24"/>
          <w:szCs w:val="24"/>
        </w:rPr>
        <w:t xml:space="preserve">that government ownership </w:t>
      </w:r>
      <w:r w:rsidR="00297ADC" w:rsidRPr="003D4632">
        <w:rPr>
          <w:rFonts w:ascii="Times New Roman" w:hAnsi="Times New Roman" w:cs="Times New Roman"/>
          <w:sz w:val="24"/>
          <w:szCs w:val="24"/>
        </w:rPr>
        <w:t xml:space="preserve">enhances performance through </w:t>
      </w:r>
      <w:r w:rsidR="003C2196">
        <w:rPr>
          <w:rFonts w:ascii="Times New Roman" w:hAnsi="Times New Roman" w:cs="Times New Roman"/>
          <w:sz w:val="24"/>
          <w:szCs w:val="24"/>
        </w:rPr>
        <w:t xml:space="preserve">a </w:t>
      </w:r>
      <w:r w:rsidR="00297ADC" w:rsidRPr="003D4632">
        <w:rPr>
          <w:rFonts w:ascii="Times New Roman" w:hAnsi="Times New Roman" w:cs="Times New Roman"/>
          <w:sz w:val="24"/>
          <w:szCs w:val="24"/>
        </w:rPr>
        <w:t xml:space="preserve">political appointment that </w:t>
      </w:r>
      <w:r w:rsidR="00E82E8F" w:rsidRPr="003D4632">
        <w:rPr>
          <w:rFonts w:ascii="Times New Roman" w:hAnsi="Times New Roman" w:cs="Times New Roman"/>
          <w:sz w:val="24"/>
          <w:szCs w:val="24"/>
        </w:rPr>
        <w:t xml:space="preserve">is incompetent and rigid and the ownership rights of government firms do not have </w:t>
      </w:r>
      <w:r w:rsidR="003C2196">
        <w:rPr>
          <w:rFonts w:ascii="Times New Roman" w:hAnsi="Times New Roman" w:cs="Times New Roman"/>
          <w:sz w:val="24"/>
          <w:szCs w:val="24"/>
        </w:rPr>
        <w:t xml:space="preserve">a </w:t>
      </w:r>
      <w:r w:rsidR="00E82E8F" w:rsidRPr="003D4632">
        <w:rPr>
          <w:rFonts w:ascii="Times New Roman" w:hAnsi="Times New Roman" w:cs="Times New Roman"/>
          <w:sz w:val="24"/>
          <w:szCs w:val="24"/>
        </w:rPr>
        <w:t>distinct incentive to better firm</w:t>
      </w:r>
      <w:r w:rsidR="003037D1" w:rsidRPr="003D4632">
        <w:rPr>
          <w:rFonts w:ascii="Times New Roman" w:hAnsi="Times New Roman" w:cs="Times New Roman"/>
          <w:sz w:val="24"/>
          <w:szCs w:val="24"/>
        </w:rPr>
        <w:t xml:space="preserve"> </w:t>
      </w:r>
      <w:r w:rsidR="00E82E8F" w:rsidRPr="003D4632">
        <w:rPr>
          <w:rFonts w:ascii="Times New Roman" w:hAnsi="Times New Roman" w:cs="Times New Roman"/>
          <w:sz w:val="24"/>
          <w:szCs w:val="24"/>
        </w:rPr>
        <w:t>performance</w:t>
      </w:r>
      <w:r>
        <w:rPr>
          <w:rFonts w:ascii="Times New Roman" w:hAnsi="Times New Roman" w:cs="Times New Roman"/>
          <w:sz w:val="24"/>
          <w:szCs w:val="24"/>
        </w:rPr>
        <w:t>.</w:t>
      </w:r>
      <w:r w:rsidR="00AA7C4F" w:rsidRPr="003D4632">
        <w:rPr>
          <w:rFonts w:ascii="Times New Roman" w:hAnsi="Times New Roman" w:cs="Times New Roman"/>
          <w:sz w:val="24"/>
          <w:szCs w:val="24"/>
        </w:rPr>
        <w:t xml:space="preserve"> </w:t>
      </w:r>
      <w:r w:rsidR="001F0B84" w:rsidRPr="003D4632">
        <w:rPr>
          <w:rFonts w:ascii="Times New Roman" w:hAnsi="Times New Roman" w:cs="Times New Roman"/>
          <w:sz w:val="24"/>
          <w:szCs w:val="24"/>
        </w:rPr>
        <w:t xml:space="preserve">Institutional equity holders are </w:t>
      </w:r>
      <w:proofErr w:type="spellStart"/>
      <w:r w:rsidR="001F0B84" w:rsidRPr="003D4632">
        <w:rPr>
          <w:rFonts w:ascii="Times New Roman" w:hAnsi="Times New Roman" w:cs="Times New Roman"/>
          <w:sz w:val="24"/>
          <w:szCs w:val="24"/>
        </w:rPr>
        <w:t>organisations</w:t>
      </w:r>
      <w:proofErr w:type="spellEnd"/>
      <w:r w:rsidR="001F0B84" w:rsidRPr="003D4632">
        <w:rPr>
          <w:rFonts w:ascii="Times New Roman" w:hAnsi="Times New Roman" w:cs="Times New Roman"/>
          <w:sz w:val="24"/>
          <w:szCs w:val="24"/>
        </w:rPr>
        <w:t xml:space="preserve"> that own huge sums of resources to invest and they do commit huge amount</w:t>
      </w:r>
      <w:r w:rsidR="003C2196">
        <w:rPr>
          <w:rFonts w:ascii="Times New Roman" w:hAnsi="Times New Roman" w:cs="Times New Roman"/>
          <w:sz w:val="24"/>
          <w:szCs w:val="24"/>
        </w:rPr>
        <w:t>s</w:t>
      </w:r>
      <w:r w:rsidR="001F0B84" w:rsidRPr="003D4632">
        <w:rPr>
          <w:rFonts w:ascii="Times New Roman" w:hAnsi="Times New Roman" w:cs="Times New Roman"/>
          <w:sz w:val="24"/>
          <w:szCs w:val="24"/>
        </w:rPr>
        <w:t xml:space="preserve"> of funds into a firm’s equity </w:t>
      </w:r>
      <w:proofErr w:type="gramStart"/>
      <w:r w:rsidR="001F0B84" w:rsidRPr="003D4632">
        <w:rPr>
          <w:rFonts w:ascii="Times New Roman" w:hAnsi="Times New Roman" w:cs="Times New Roman"/>
          <w:sz w:val="24"/>
          <w:szCs w:val="24"/>
        </w:rPr>
        <w:t>e.g.</w:t>
      </w:r>
      <w:proofErr w:type="gramEnd"/>
      <w:r w:rsidR="001F0B84" w:rsidRPr="003D4632">
        <w:rPr>
          <w:rFonts w:ascii="Times New Roman" w:hAnsi="Times New Roman" w:cs="Times New Roman"/>
          <w:sz w:val="24"/>
          <w:szCs w:val="24"/>
        </w:rPr>
        <w:t xml:space="preserve"> pension reserves, insurance </w:t>
      </w:r>
      <w:r w:rsidR="001F0B84" w:rsidRPr="003D4632">
        <w:rPr>
          <w:rFonts w:ascii="Times New Roman" w:hAnsi="Times New Roman" w:cs="Times New Roman"/>
          <w:sz w:val="24"/>
          <w:szCs w:val="24"/>
        </w:rPr>
        <w:lastRenderedPageBreak/>
        <w:t xml:space="preserve">firms, mutual funds and combined performance is termed as the neutrality assumption. Institutions play a supervising duty in </w:t>
      </w:r>
      <w:proofErr w:type="spellStart"/>
      <w:r w:rsidR="001F0B84" w:rsidRPr="003D4632">
        <w:rPr>
          <w:rFonts w:ascii="Times New Roman" w:hAnsi="Times New Roman" w:cs="Times New Roman"/>
          <w:sz w:val="24"/>
          <w:szCs w:val="24"/>
        </w:rPr>
        <w:t>minimising</w:t>
      </w:r>
      <w:proofErr w:type="spellEnd"/>
      <w:r w:rsidR="001F0B84" w:rsidRPr="003D4632">
        <w:rPr>
          <w:rFonts w:ascii="Times New Roman" w:hAnsi="Times New Roman" w:cs="Times New Roman"/>
          <w:sz w:val="24"/>
          <w:szCs w:val="24"/>
        </w:rPr>
        <w:t xml:space="preserve"> agency conflicts between principal and agent</w:t>
      </w:r>
      <w:r w:rsidR="00FA1C31" w:rsidRPr="003D4632">
        <w:rPr>
          <w:rFonts w:ascii="Times New Roman" w:hAnsi="Times New Roman" w:cs="Times New Roman"/>
          <w:sz w:val="24"/>
          <w:szCs w:val="24"/>
        </w:rPr>
        <w:t xml:space="preserve"> (Ajao &amp; </w:t>
      </w:r>
      <w:proofErr w:type="spellStart"/>
      <w:r w:rsidR="00FA1C31" w:rsidRPr="003D4632">
        <w:rPr>
          <w:rFonts w:ascii="Times New Roman" w:hAnsi="Times New Roman" w:cs="Times New Roman"/>
          <w:sz w:val="24"/>
          <w:szCs w:val="24"/>
        </w:rPr>
        <w:t>Ejokehuma</w:t>
      </w:r>
      <w:proofErr w:type="spellEnd"/>
      <w:r w:rsidR="00FA1C31" w:rsidRPr="003D4632">
        <w:rPr>
          <w:rFonts w:ascii="Times New Roman" w:hAnsi="Times New Roman" w:cs="Times New Roman"/>
          <w:sz w:val="24"/>
          <w:szCs w:val="24"/>
        </w:rPr>
        <w:t>, 2020)</w:t>
      </w:r>
      <w:r w:rsidR="001F0B84" w:rsidRPr="003D4632">
        <w:rPr>
          <w:rFonts w:ascii="Times New Roman" w:hAnsi="Times New Roman" w:cs="Times New Roman"/>
          <w:sz w:val="24"/>
          <w:szCs w:val="24"/>
        </w:rPr>
        <w:t>.</w:t>
      </w:r>
      <w:r w:rsidR="00274C4A" w:rsidRPr="003D4632">
        <w:rPr>
          <w:rFonts w:ascii="Times New Roman" w:hAnsi="Times New Roman" w:cs="Times New Roman"/>
          <w:sz w:val="24"/>
          <w:szCs w:val="24"/>
        </w:rPr>
        <w:t xml:space="preserve"> </w:t>
      </w:r>
      <w:r w:rsidR="00535791" w:rsidRPr="003D4632">
        <w:rPr>
          <w:rFonts w:ascii="Times New Roman" w:hAnsi="Times New Roman" w:cs="Times New Roman"/>
          <w:sz w:val="24"/>
          <w:szCs w:val="24"/>
        </w:rPr>
        <w:t xml:space="preserve">The concentration of ownership is </w:t>
      </w:r>
      <w:r>
        <w:rPr>
          <w:rFonts w:ascii="Times New Roman" w:hAnsi="Times New Roman" w:cs="Times New Roman"/>
          <w:sz w:val="24"/>
          <w:szCs w:val="24"/>
        </w:rPr>
        <w:t xml:space="preserve">a </w:t>
      </w:r>
      <w:r w:rsidR="00274C4A" w:rsidRPr="003D4632">
        <w:rPr>
          <w:rFonts w:ascii="Times New Roman" w:hAnsi="Times New Roman" w:cs="Times New Roman"/>
          <w:sz w:val="24"/>
          <w:szCs w:val="24"/>
        </w:rPr>
        <w:t>percentage</w:t>
      </w:r>
      <w:r w:rsidR="00535791" w:rsidRPr="003D4632">
        <w:rPr>
          <w:rFonts w:ascii="Times New Roman" w:hAnsi="Times New Roman" w:cs="Times New Roman"/>
          <w:sz w:val="24"/>
          <w:szCs w:val="24"/>
        </w:rPr>
        <w:t xml:space="preserve"> of shares held by top shareholders such as</w:t>
      </w:r>
      <w:r w:rsidR="00194EED" w:rsidRPr="003D4632">
        <w:rPr>
          <w:rFonts w:ascii="Times New Roman" w:hAnsi="Times New Roman" w:cs="Times New Roman"/>
          <w:sz w:val="24"/>
          <w:szCs w:val="24"/>
        </w:rPr>
        <w:t xml:space="preserve"> </w:t>
      </w:r>
      <w:r w:rsidR="00535791" w:rsidRPr="003D4632">
        <w:rPr>
          <w:rFonts w:ascii="Times New Roman" w:hAnsi="Times New Roman" w:cs="Times New Roman"/>
          <w:sz w:val="24"/>
          <w:szCs w:val="24"/>
        </w:rPr>
        <w:t xml:space="preserve">government, financial institutions, corporations, individuals, or families. </w:t>
      </w:r>
      <w:r w:rsidR="003C2196">
        <w:rPr>
          <w:rFonts w:ascii="Times New Roman" w:hAnsi="Times New Roman" w:cs="Times New Roman"/>
          <w:sz w:val="24"/>
          <w:szCs w:val="24"/>
        </w:rPr>
        <w:t>The p</w:t>
      </w:r>
      <w:r w:rsidR="003C2196" w:rsidRPr="003D4632">
        <w:rPr>
          <w:rFonts w:ascii="Times New Roman" w:hAnsi="Times New Roman" w:cs="Times New Roman"/>
          <w:sz w:val="24"/>
          <w:szCs w:val="24"/>
        </w:rPr>
        <w:t xml:space="preserve">ercentage </w:t>
      </w:r>
      <w:r w:rsidR="00535791" w:rsidRPr="003D4632">
        <w:rPr>
          <w:rFonts w:ascii="Times New Roman" w:hAnsi="Times New Roman" w:cs="Times New Roman"/>
          <w:sz w:val="24"/>
          <w:szCs w:val="24"/>
        </w:rPr>
        <w:t xml:space="preserve">of shares held by </w:t>
      </w:r>
      <w:r w:rsidR="003C2196">
        <w:rPr>
          <w:rFonts w:ascii="Times New Roman" w:hAnsi="Times New Roman" w:cs="Times New Roman"/>
          <w:sz w:val="24"/>
          <w:szCs w:val="24"/>
        </w:rPr>
        <w:t xml:space="preserve">the </w:t>
      </w:r>
      <w:r w:rsidR="00535791" w:rsidRPr="003D4632">
        <w:rPr>
          <w:rFonts w:ascii="Times New Roman" w:hAnsi="Times New Roman" w:cs="Times New Roman"/>
          <w:sz w:val="24"/>
          <w:szCs w:val="24"/>
        </w:rPr>
        <w:t>top 5 shareholders is used as a proxy for concentrated ownership.</w:t>
      </w:r>
    </w:p>
    <w:p w14:paraId="1B8187D8" w14:textId="77777777" w:rsidR="00821116" w:rsidRDefault="00821116" w:rsidP="00FB3FAC">
      <w:pPr>
        <w:spacing w:after="0" w:line="360" w:lineRule="auto"/>
        <w:jc w:val="both"/>
        <w:rPr>
          <w:rFonts w:ascii="Times New Roman" w:hAnsi="Times New Roman" w:cs="Times New Roman"/>
          <w:sz w:val="24"/>
          <w:szCs w:val="24"/>
        </w:rPr>
      </w:pPr>
    </w:p>
    <w:p w14:paraId="72F0B8AE" w14:textId="73FD3068" w:rsidR="00790294" w:rsidRPr="003D4632" w:rsidRDefault="00AA7C4F" w:rsidP="00FB3FAC">
      <w:pPr>
        <w:spacing w:after="0" w:line="360" w:lineRule="auto"/>
        <w:jc w:val="both"/>
        <w:rPr>
          <w:rFonts w:ascii="Times New Roman" w:hAnsi="Times New Roman" w:cs="Times New Roman"/>
          <w:b/>
          <w:sz w:val="24"/>
          <w:szCs w:val="24"/>
        </w:rPr>
      </w:pPr>
      <w:r w:rsidRPr="003D4632">
        <w:rPr>
          <w:rFonts w:ascii="Times New Roman" w:hAnsi="Times New Roman" w:cs="Times New Roman"/>
          <w:b/>
          <w:sz w:val="24"/>
          <w:szCs w:val="24"/>
        </w:rPr>
        <w:t xml:space="preserve">Bank Size </w:t>
      </w:r>
    </w:p>
    <w:p w14:paraId="54231EFC" w14:textId="77777777" w:rsidR="00FB3FAC" w:rsidRDefault="008E05A1" w:rsidP="00FB3FAC">
      <w:pPr>
        <w:spacing w:after="0" w:line="360" w:lineRule="auto"/>
        <w:jc w:val="both"/>
        <w:rPr>
          <w:rStyle w:val="markedcontent"/>
          <w:rFonts w:ascii="Times New Roman" w:hAnsi="Times New Roman" w:cs="Times New Roman"/>
          <w:sz w:val="24"/>
          <w:szCs w:val="24"/>
        </w:rPr>
      </w:pPr>
      <w:r w:rsidRPr="003D4632">
        <w:rPr>
          <w:rStyle w:val="markedcontent"/>
          <w:rFonts w:ascii="Times New Roman" w:hAnsi="Times New Roman" w:cs="Times New Roman"/>
          <w:sz w:val="24"/>
          <w:szCs w:val="24"/>
        </w:rPr>
        <w:t xml:space="preserve">The size of a bank is used to capture economies and diseconomies of scale in the banking industry. The size of a bank is computed as the logarithm of total assets. Bank size plays an important role in the prediction of </w:t>
      </w:r>
      <w:r w:rsidR="009D49C2" w:rsidRPr="003D4632">
        <w:rPr>
          <w:rStyle w:val="markedcontent"/>
          <w:rFonts w:ascii="Times New Roman" w:hAnsi="Times New Roman" w:cs="Times New Roman"/>
          <w:sz w:val="24"/>
          <w:szCs w:val="24"/>
        </w:rPr>
        <w:t>loan</w:t>
      </w:r>
      <w:r w:rsidR="003C2196">
        <w:rPr>
          <w:rStyle w:val="markedcontent"/>
          <w:rFonts w:ascii="Times New Roman" w:hAnsi="Times New Roman" w:cs="Times New Roman"/>
          <w:sz w:val="24"/>
          <w:szCs w:val="24"/>
        </w:rPr>
        <w:t>s</w:t>
      </w:r>
      <w:r w:rsidR="009D49C2" w:rsidRPr="003D4632">
        <w:rPr>
          <w:rStyle w:val="markedcontent"/>
          <w:rFonts w:ascii="Times New Roman" w:hAnsi="Times New Roman" w:cs="Times New Roman"/>
          <w:sz w:val="24"/>
          <w:szCs w:val="24"/>
        </w:rPr>
        <w:t xml:space="preserve"> </w:t>
      </w:r>
      <w:r w:rsidRPr="003D4632">
        <w:rPr>
          <w:rStyle w:val="markedcontent"/>
          <w:rFonts w:ascii="Times New Roman" w:hAnsi="Times New Roman" w:cs="Times New Roman"/>
          <w:sz w:val="24"/>
          <w:szCs w:val="24"/>
        </w:rPr>
        <w:t xml:space="preserve">when economies of scale are considered. A bank may leverage on average cost reduction per unit while enhancing efficiency, capital base and market share. Babalola and Abiola (2013) opined that a larger bank is more influential in strategic decision and </w:t>
      </w:r>
      <w:r w:rsidR="003C2196" w:rsidRPr="003D4632">
        <w:rPr>
          <w:rStyle w:val="markedcontent"/>
          <w:rFonts w:ascii="Times New Roman" w:hAnsi="Times New Roman" w:cs="Times New Roman"/>
          <w:sz w:val="24"/>
          <w:szCs w:val="24"/>
        </w:rPr>
        <w:t>ha</w:t>
      </w:r>
      <w:r w:rsidR="003C2196">
        <w:rPr>
          <w:rStyle w:val="markedcontent"/>
          <w:rFonts w:ascii="Times New Roman" w:hAnsi="Times New Roman" w:cs="Times New Roman"/>
          <w:sz w:val="24"/>
          <w:szCs w:val="24"/>
        </w:rPr>
        <w:t>s</w:t>
      </w:r>
      <w:r w:rsidR="003C2196" w:rsidRPr="003D4632">
        <w:rPr>
          <w:rStyle w:val="markedcontent"/>
          <w:rFonts w:ascii="Times New Roman" w:hAnsi="Times New Roman" w:cs="Times New Roman"/>
          <w:sz w:val="24"/>
          <w:szCs w:val="24"/>
        </w:rPr>
        <w:t xml:space="preserve"> </w:t>
      </w:r>
      <w:r w:rsidRPr="003D4632">
        <w:rPr>
          <w:rStyle w:val="markedcontent"/>
          <w:rFonts w:ascii="Times New Roman" w:hAnsi="Times New Roman" w:cs="Times New Roman"/>
          <w:sz w:val="24"/>
          <w:szCs w:val="24"/>
        </w:rPr>
        <w:t xml:space="preserve">more influence upon its stakeholders, competitors, efficiency and in addition, more profitable relative to a </w:t>
      </w:r>
      <w:r w:rsidR="00882282" w:rsidRPr="003D4632">
        <w:rPr>
          <w:rStyle w:val="markedcontent"/>
          <w:rFonts w:ascii="Times New Roman" w:hAnsi="Times New Roman" w:cs="Times New Roman"/>
          <w:sz w:val="24"/>
          <w:szCs w:val="24"/>
        </w:rPr>
        <w:t>small bank</w:t>
      </w:r>
      <w:r w:rsidRPr="003D4632">
        <w:rPr>
          <w:rStyle w:val="markedcontent"/>
          <w:rFonts w:ascii="Times New Roman" w:hAnsi="Times New Roman" w:cs="Times New Roman"/>
          <w:sz w:val="24"/>
          <w:szCs w:val="24"/>
        </w:rPr>
        <w:t>. Bank size uniqueness in terms of assets, capital, deposits and loans influence</w:t>
      </w:r>
      <w:r w:rsidR="003C2196">
        <w:rPr>
          <w:rStyle w:val="markedcontent"/>
          <w:rFonts w:ascii="Times New Roman" w:hAnsi="Times New Roman" w:cs="Times New Roman"/>
          <w:sz w:val="24"/>
          <w:szCs w:val="24"/>
        </w:rPr>
        <w:t>s</w:t>
      </w:r>
      <w:r w:rsidRPr="003D4632">
        <w:rPr>
          <w:rStyle w:val="markedcontent"/>
          <w:rFonts w:ascii="Times New Roman" w:hAnsi="Times New Roman" w:cs="Times New Roman"/>
          <w:sz w:val="24"/>
          <w:szCs w:val="24"/>
        </w:rPr>
        <w:t xml:space="preserve"> the quality of decisions on the activities undertaken by a bank, which in effect, affects the strength of financial performance (</w:t>
      </w:r>
      <w:proofErr w:type="spellStart"/>
      <w:r w:rsidRPr="003D4632">
        <w:rPr>
          <w:rStyle w:val="markedcontent"/>
          <w:rFonts w:ascii="Times New Roman" w:hAnsi="Times New Roman" w:cs="Times New Roman"/>
          <w:sz w:val="24"/>
          <w:szCs w:val="24"/>
        </w:rPr>
        <w:t>Olowokure</w:t>
      </w:r>
      <w:proofErr w:type="spellEnd"/>
      <w:r w:rsidR="00CF3A25" w:rsidRPr="003D4632">
        <w:rPr>
          <w:rStyle w:val="markedcontent"/>
          <w:rFonts w:ascii="Times New Roman" w:hAnsi="Times New Roman" w:cs="Times New Roman"/>
          <w:sz w:val="24"/>
          <w:szCs w:val="24"/>
        </w:rPr>
        <w:t>,</w:t>
      </w:r>
      <w:r w:rsidR="001623F8" w:rsidRPr="003D4632">
        <w:rPr>
          <w:rStyle w:val="markedcontent"/>
          <w:rFonts w:ascii="Times New Roman" w:hAnsi="Times New Roman" w:cs="Times New Roman"/>
          <w:sz w:val="24"/>
          <w:szCs w:val="24"/>
        </w:rPr>
        <w:t xml:space="preserve"> et al, </w:t>
      </w:r>
      <w:r w:rsidRPr="003D4632">
        <w:rPr>
          <w:rStyle w:val="markedcontent"/>
          <w:rFonts w:ascii="Times New Roman" w:hAnsi="Times New Roman" w:cs="Times New Roman"/>
          <w:sz w:val="24"/>
          <w:szCs w:val="24"/>
        </w:rPr>
        <w:t>2015</w:t>
      </w:r>
      <w:r w:rsidR="00882282" w:rsidRPr="003D4632">
        <w:rPr>
          <w:rStyle w:val="markedcontent"/>
          <w:rFonts w:ascii="Times New Roman" w:hAnsi="Times New Roman" w:cs="Times New Roman"/>
          <w:sz w:val="24"/>
          <w:szCs w:val="24"/>
        </w:rPr>
        <w:t xml:space="preserve">). </w:t>
      </w:r>
    </w:p>
    <w:p w14:paraId="12ED14E8" w14:textId="77777777" w:rsidR="00FB3FAC" w:rsidRDefault="00FB3FAC" w:rsidP="00FB3FAC">
      <w:pPr>
        <w:spacing w:after="0" w:line="360" w:lineRule="auto"/>
        <w:jc w:val="both"/>
        <w:rPr>
          <w:rStyle w:val="markedcontent"/>
          <w:rFonts w:ascii="Times New Roman" w:hAnsi="Times New Roman" w:cs="Times New Roman"/>
          <w:sz w:val="24"/>
          <w:szCs w:val="24"/>
        </w:rPr>
      </w:pPr>
    </w:p>
    <w:p w14:paraId="049CEBD0" w14:textId="0F7EEA3E" w:rsidR="00790294" w:rsidRPr="003D4632" w:rsidRDefault="00882282" w:rsidP="00FB3FAC">
      <w:pPr>
        <w:spacing w:after="0" w:line="360" w:lineRule="auto"/>
        <w:jc w:val="both"/>
        <w:rPr>
          <w:rStyle w:val="markedcontent"/>
          <w:rFonts w:ascii="Times New Roman" w:hAnsi="Times New Roman" w:cs="Times New Roman"/>
          <w:sz w:val="24"/>
          <w:szCs w:val="24"/>
        </w:rPr>
      </w:pPr>
      <w:r w:rsidRPr="003D4632">
        <w:rPr>
          <w:rStyle w:val="markedcontent"/>
          <w:rFonts w:ascii="Times New Roman" w:hAnsi="Times New Roman" w:cs="Times New Roman"/>
          <w:sz w:val="24"/>
          <w:szCs w:val="24"/>
        </w:rPr>
        <w:t>The</w:t>
      </w:r>
      <w:r w:rsidR="008E05A1" w:rsidRPr="003D4632">
        <w:rPr>
          <w:rStyle w:val="markedcontent"/>
          <w:rFonts w:ascii="Times New Roman" w:hAnsi="Times New Roman" w:cs="Times New Roman"/>
          <w:sz w:val="24"/>
          <w:szCs w:val="24"/>
        </w:rPr>
        <w:t xml:space="preserve"> largeness of a bank can be decomposed into; vertical on activities and products; or horizontal on the supply of a product or service across several entities. Thus, a puzzled endless debate on the optimal bank size, management complexity and exposures associated with activities ranges. Larger banks engage more in market activities outside their traditional lending, which of late, has escalated and grown significantly</w:t>
      </w:r>
      <w:r w:rsidR="009D49C2" w:rsidRPr="003D4632">
        <w:rPr>
          <w:rStyle w:val="markedcontent"/>
          <w:rFonts w:ascii="Times New Roman" w:hAnsi="Times New Roman" w:cs="Times New Roman"/>
          <w:sz w:val="24"/>
          <w:szCs w:val="24"/>
        </w:rPr>
        <w:t xml:space="preserve"> </w:t>
      </w:r>
      <w:r w:rsidR="008E05A1" w:rsidRPr="003D4632">
        <w:rPr>
          <w:rStyle w:val="markedcontent"/>
          <w:rFonts w:ascii="Times New Roman" w:hAnsi="Times New Roman" w:cs="Times New Roman"/>
          <w:sz w:val="24"/>
          <w:szCs w:val="24"/>
        </w:rPr>
        <w:t>(</w:t>
      </w:r>
      <w:proofErr w:type="spellStart"/>
      <w:r w:rsidR="008E05A1" w:rsidRPr="003D4632">
        <w:rPr>
          <w:rStyle w:val="markedcontent"/>
          <w:rFonts w:ascii="Times New Roman" w:hAnsi="Times New Roman" w:cs="Times New Roman"/>
          <w:sz w:val="24"/>
          <w:szCs w:val="24"/>
        </w:rPr>
        <w:t>Teimet</w:t>
      </w:r>
      <w:proofErr w:type="spellEnd"/>
      <w:r w:rsidR="008E05A1" w:rsidRPr="003D4632">
        <w:rPr>
          <w:rStyle w:val="markedcontent"/>
          <w:rFonts w:ascii="Times New Roman" w:hAnsi="Times New Roman" w:cs="Times New Roman"/>
          <w:sz w:val="24"/>
          <w:szCs w:val="24"/>
        </w:rPr>
        <w:t xml:space="preserve"> &amp; </w:t>
      </w:r>
      <w:proofErr w:type="spellStart"/>
      <w:r w:rsidR="008E05A1" w:rsidRPr="003D4632">
        <w:rPr>
          <w:rStyle w:val="markedcontent"/>
          <w:rFonts w:ascii="Times New Roman" w:hAnsi="Times New Roman" w:cs="Times New Roman"/>
          <w:sz w:val="24"/>
          <w:szCs w:val="24"/>
        </w:rPr>
        <w:t>Lishenga</w:t>
      </w:r>
      <w:proofErr w:type="spellEnd"/>
      <w:r w:rsidR="008E05A1" w:rsidRPr="003D4632">
        <w:rPr>
          <w:rStyle w:val="markedcontent"/>
          <w:rFonts w:ascii="Times New Roman" w:hAnsi="Times New Roman" w:cs="Times New Roman"/>
          <w:sz w:val="24"/>
          <w:szCs w:val="24"/>
        </w:rPr>
        <w:t>, 2019). This paradigm shift of activities in the developed world has warranted restriction</w:t>
      </w:r>
      <w:r w:rsidR="003C2196">
        <w:rPr>
          <w:rStyle w:val="markedcontent"/>
          <w:rFonts w:ascii="Times New Roman" w:hAnsi="Times New Roman" w:cs="Times New Roman"/>
          <w:sz w:val="24"/>
          <w:szCs w:val="24"/>
        </w:rPr>
        <w:t>s</w:t>
      </w:r>
      <w:r w:rsidR="008E05A1" w:rsidRPr="003D4632">
        <w:rPr>
          <w:rStyle w:val="markedcontent"/>
          <w:rFonts w:ascii="Times New Roman" w:hAnsi="Times New Roman" w:cs="Times New Roman"/>
          <w:sz w:val="24"/>
          <w:szCs w:val="24"/>
        </w:rPr>
        <w:t xml:space="preserve"> to reduce bank size exposure (Vinals et al., 2013). Accordingly, larger banks tend to have </w:t>
      </w:r>
      <w:r w:rsidR="003C2196">
        <w:rPr>
          <w:rStyle w:val="markedcontent"/>
          <w:rFonts w:ascii="Times New Roman" w:hAnsi="Times New Roman" w:cs="Times New Roman"/>
          <w:sz w:val="24"/>
          <w:szCs w:val="24"/>
        </w:rPr>
        <w:t xml:space="preserve">a </w:t>
      </w:r>
      <w:r w:rsidR="008E05A1" w:rsidRPr="003D4632">
        <w:rPr>
          <w:rStyle w:val="markedcontent"/>
          <w:rFonts w:ascii="Times New Roman" w:hAnsi="Times New Roman" w:cs="Times New Roman"/>
          <w:sz w:val="24"/>
          <w:szCs w:val="24"/>
        </w:rPr>
        <w:t xml:space="preserve">lower capital base, less-stable funding, </w:t>
      </w:r>
      <w:r w:rsidR="003C2196" w:rsidRPr="003D4632">
        <w:rPr>
          <w:rStyle w:val="markedcontent"/>
          <w:rFonts w:ascii="Times New Roman" w:hAnsi="Times New Roman" w:cs="Times New Roman"/>
          <w:sz w:val="24"/>
          <w:szCs w:val="24"/>
        </w:rPr>
        <w:t>engag</w:t>
      </w:r>
      <w:r w:rsidR="003C2196">
        <w:rPr>
          <w:rStyle w:val="markedcontent"/>
          <w:rFonts w:ascii="Times New Roman" w:hAnsi="Times New Roman" w:cs="Times New Roman"/>
          <w:sz w:val="24"/>
          <w:szCs w:val="24"/>
        </w:rPr>
        <w:t>e</w:t>
      </w:r>
      <w:r w:rsidR="003C2196" w:rsidRPr="003D4632">
        <w:rPr>
          <w:rStyle w:val="markedcontent"/>
          <w:rFonts w:ascii="Times New Roman" w:hAnsi="Times New Roman" w:cs="Times New Roman"/>
          <w:sz w:val="24"/>
          <w:szCs w:val="24"/>
        </w:rPr>
        <w:t xml:space="preserve"> </w:t>
      </w:r>
      <w:r w:rsidR="008E05A1" w:rsidRPr="003D4632">
        <w:rPr>
          <w:rStyle w:val="markedcontent"/>
          <w:rFonts w:ascii="Times New Roman" w:hAnsi="Times New Roman" w:cs="Times New Roman"/>
          <w:sz w:val="24"/>
          <w:szCs w:val="24"/>
        </w:rPr>
        <w:t xml:space="preserve">in more-market based activities as well </w:t>
      </w:r>
      <w:r w:rsidR="00251CE0">
        <w:rPr>
          <w:rStyle w:val="markedcontent"/>
          <w:rFonts w:ascii="Times New Roman" w:hAnsi="Times New Roman" w:cs="Times New Roman"/>
          <w:sz w:val="24"/>
          <w:szCs w:val="24"/>
        </w:rPr>
        <w:t xml:space="preserve">as </w:t>
      </w:r>
      <w:r w:rsidR="008E05A1" w:rsidRPr="003D4632">
        <w:rPr>
          <w:rStyle w:val="markedcontent"/>
          <w:rFonts w:ascii="Times New Roman" w:hAnsi="Times New Roman" w:cs="Times New Roman"/>
          <w:sz w:val="24"/>
          <w:szCs w:val="24"/>
        </w:rPr>
        <w:t xml:space="preserve">more complex </w:t>
      </w:r>
      <w:r w:rsidR="00251CE0">
        <w:rPr>
          <w:rStyle w:val="markedcontent"/>
          <w:rFonts w:ascii="Times New Roman" w:hAnsi="Times New Roman" w:cs="Times New Roman"/>
          <w:sz w:val="24"/>
          <w:szCs w:val="24"/>
        </w:rPr>
        <w:t xml:space="preserve">operations </w:t>
      </w:r>
      <w:r w:rsidR="008E05A1" w:rsidRPr="003D4632">
        <w:rPr>
          <w:rStyle w:val="markedcontent"/>
          <w:rFonts w:ascii="Times New Roman" w:hAnsi="Times New Roman" w:cs="Times New Roman"/>
          <w:sz w:val="24"/>
          <w:szCs w:val="24"/>
        </w:rPr>
        <w:t>than small banks. However, the failures associated with larger banks tend to be more disruptive to the financial system than failures of small banks (</w:t>
      </w:r>
      <w:proofErr w:type="spellStart"/>
      <w:r w:rsidR="008E05A1" w:rsidRPr="003D4632">
        <w:rPr>
          <w:rStyle w:val="markedcontent"/>
          <w:rFonts w:ascii="Times New Roman" w:hAnsi="Times New Roman" w:cs="Times New Roman"/>
          <w:sz w:val="24"/>
          <w:szCs w:val="24"/>
        </w:rPr>
        <w:t>Laeven</w:t>
      </w:r>
      <w:proofErr w:type="spellEnd"/>
      <w:r w:rsidR="001623F8" w:rsidRPr="003D4632">
        <w:rPr>
          <w:rStyle w:val="markedcontent"/>
          <w:rFonts w:ascii="Times New Roman" w:hAnsi="Times New Roman" w:cs="Times New Roman"/>
          <w:sz w:val="24"/>
          <w:szCs w:val="24"/>
        </w:rPr>
        <w:t xml:space="preserve"> et al</w:t>
      </w:r>
      <w:r w:rsidR="008E05A1" w:rsidRPr="003D4632">
        <w:rPr>
          <w:rStyle w:val="markedcontent"/>
          <w:rFonts w:ascii="Times New Roman" w:hAnsi="Times New Roman" w:cs="Times New Roman"/>
          <w:sz w:val="24"/>
          <w:szCs w:val="24"/>
        </w:rPr>
        <w:t>, 2014).</w:t>
      </w:r>
    </w:p>
    <w:p w14:paraId="67D3F121" w14:textId="3429ECF2" w:rsidR="005E1BA4" w:rsidRPr="003D4632" w:rsidRDefault="005E1BA4" w:rsidP="00FB3FAC">
      <w:pPr>
        <w:spacing w:after="0" w:line="240" w:lineRule="auto"/>
        <w:jc w:val="both"/>
        <w:rPr>
          <w:rStyle w:val="markedcontent"/>
          <w:rFonts w:ascii="Times New Roman" w:hAnsi="Times New Roman" w:cs="Times New Roman"/>
          <w:sz w:val="24"/>
          <w:szCs w:val="24"/>
        </w:rPr>
      </w:pPr>
    </w:p>
    <w:p w14:paraId="6194CEAB" w14:textId="1A97DD91" w:rsidR="008162F6" w:rsidRPr="00DA3AA0" w:rsidRDefault="00790294" w:rsidP="00FB3FAC">
      <w:pPr>
        <w:spacing w:after="0" w:line="360" w:lineRule="auto"/>
        <w:jc w:val="both"/>
        <w:rPr>
          <w:rFonts w:ascii="Times New Roman" w:hAnsi="Times New Roman" w:cs="Times New Roman"/>
          <w:b/>
          <w:sz w:val="24"/>
          <w:szCs w:val="24"/>
        </w:rPr>
      </w:pPr>
      <w:r w:rsidRPr="003D4632">
        <w:rPr>
          <w:rFonts w:ascii="Times New Roman" w:hAnsi="Times New Roman" w:cs="Times New Roman"/>
          <w:b/>
          <w:sz w:val="24"/>
          <w:szCs w:val="24"/>
        </w:rPr>
        <w:t>Empirica</w:t>
      </w:r>
      <w:r w:rsidR="00DA3AA0">
        <w:rPr>
          <w:rFonts w:ascii="Times New Roman" w:hAnsi="Times New Roman" w:cs="Times New Roman"/>
          <w:b/>
          <w:sz w:val="24"/>
          <w:szCs w:val="24"/>
        </w:rPr>
        <w:t>l Review</w:t>
      </w:r>
    </w:p>
    <w:p w14:paraId="0D55A830" w14:textId="0025D05C" w:rsidR="00D4527B" w:rsidRDefault="00D4527B" w:rsidP="00FB3FAC">
      <w:pPr>
        <w:spacing w:after="0" w:line="360" w:lineRule="auto"/>
        <w:ind w:right="-58"/>
        <w:jc w:val="both"/>
        <w:rPr>
          <w:rFonts w:ascii="Times New Roman" w:hAnsi="Times New Roman" w:cs="Times New Roman"/>
          <w:b/>
          <w:bCs/>
          <w:sz w:val="24"/>
          <w:szCs w:val="24"/>
        </w:rPr>
      </w:pPr>
      <w:proofErr w:type="spellStart"/>
      <w:r w:rsidRPr="0051062B">
        <w:rPr>
          <w:rFonts w:ascii="Times New Roman" w:hAnsi="Times New Roman" w:cs="Times New Roman"/>
          <w:bCs/>
          <w:sz w:val="24"/>
          <w:szCs w:val="24"/>
        </w:rPr>
        <w:t>Sijabat</w:t>
      </w:r>
      <w:proofErr w:type="spellEnd"/>
      <w:r>
        <w:rPr>
          <w:rFonts w:ascii="Times New Roman" w:hAnsi="Times New Roman" w:cs="Times New Roman"/>
          <w:bCs/>
          <w:sz w:val="24"/>
          <w:szCs w:val="24"/>
        </w:rPr>
        <w:t xml:space="preserve">, </w:t>
      </w:r>
      <w:r w:rsidRPr="007F09DD">
        <w:rPr>
          <w:rFonts w:ascii="Times New Roman" w:hAnsi="Times New Roman" w:cs="Times New Roman"/>
          <w:bCs/>
          <w:i/>
          <w:sz w:val="24"/>
          <w:szCs w:val="24"/>
        </w:rPr>
        <w:t>et</w:t>
      </w:r>
      <w:r>
        <w:rPr>
          <w:rFonts w:ascii="Times New Roman" w:hAnsi="Times New Roman" w:cs="Times New Roman"/>
          <w:bCs/>
          <w:i/>
          <w:sz w:val="24"/>
          <w:szCs w:val="24"/>
        </w:rPr>
        <w:t>.</w:t>
      </w:r>
      <w:r w:rsidRPr="007F09DD">
        <w:rPr>
          <w:rFonts w:ascii="Times New Roman" w:hAnsi="Times New Roman" w:cs="Times New Roman"/>
          <w:bCs/>
          <w:i/>
          <w:sz w:val="24"/>
          <w:szCs w:val="24"/>
        </w:rPr>
        <w:t xml:space="preserve"> al.,</w:t>
      </w:r>
      <w:r>
        <w:rPr>
          <w:rFonts w:ascii="Times New Roman" w:hAnsi="Times New Roman" w:cs="Times New Roman"/>
          <w:bCs/>
          <w:sz w:val="24"/>
          <w:szCs w:val="24"/>
        </w:rPr>
        <w:t xml:space="preserve"> (2020) examine</w:t>
      </w:r>
      <w:r w:rsidR="00DA7CAD">
        <w:rPr>
          <w:rFonts w:ascii="Times New Roman" w:hAnsi="Times New Roman" w:cs="Times New Roman"/>
          <w:bCs/>
          <w:sz w:val="24"/>
          <w:szCs w:val="24"/>
        </w:rPr>
        <w:t>d</w:t>
      </w:r>
      <w:r>
        <w:rPr>
          <w:rFonts w:ascii="Times New Roman" w:hAnsi="Times New Roman" w:cs="Times New Roman"/>
          <w:bCs/>
          <w:sz w:val="24"/>
          <w:szCs w:val="24"/>
        </w:rPr>
        <w:t xml:space="preserve"> the determinants of ownership concentration on bank performance and non-performing loans (risks) of listed banks in Indonesia stock exchange from 2000 to 2018. This research was quantitative research using panel data regression analysis methods. Secondary data was collected from 42 banks listed on the Indonesia Stock Exchange </w:t>
      </w:r>
      <w:r>
        <w:rPr>
          <w:rFonts w:ascii="Times New Roman" w:hAnsi="Times New Roman" w:cs="Times New Roman"/>
          <w:bCs/>
          <w:sz w:val="24"/>
          <w:szCs w:val="24"/>
        </w:rPr>
        <w:lastRenderedPageBreak/>
        <w:t>using a purposive sampling technique. This study used Return on Assets (ROA) and Return on Equity (ROE) proxy to measure performance while the standard deviation of returns was used to measure bank non-performing loans (Risks). Findings showed that ownership concentration has a positive impact on non-performing loans. That is, the more concentrated the ownership of the bank, the higher the level of its non-performing loans. This study although conducted in a similar sector but in a foreign country with a different financial system. Besides, the study failed to carry</w:t>
      </w:r>
      <w:r w:rsidR="003C2196">
        <w:rPr>
          <w:rFonts w:ascii="Times New Roman" w:hAnsi="Times New Roman" w:cs="Times New Roman"/>
          <w:bCs/>
          <w:sz w:val="24"/>
          <w:szCs w:val="24"/>
        </w:rPr>
        <w:t xml:space="preserve"> </w:t>
      </w:r>
      <w:r>
        <w:rPr>
          <w:rFonts w:ascii="Times New Roman" w:hAnsi="Times New Roman" w:cs="Times New Roman"/>
          <w:bCs/>
          <w:sz w:val="24"/>
          <w:szCs w:val="24"/>
        </w:rPr>
        <w:t xml:space="preserve">out </w:t>
      </w:r>
      <w:r w:rsidR="003C2196">
        <w:rPr>
          <w:rFonts w:ascii="Times New Roman" w:hAnsi="Times New Roman" w:cs="Times New Roman"/>
          <w:bCs/>
          <w:sz w:val="24"/>
          <w:szCs w:val="24"/>
        </w:rPr>
        <w:t xml:space="preserve">a </w:t>
      </w:r>
      <w:proofErr w:type="gramStart"/>
      <w:r>
        <w:rPr>
          <w:rFonts w:ascii="Times New Roman" w:hAnsi="Times New Roman" w:cs="Times New Roman"/>
          <w:bCs/>
          <w:sz w:val="24"/>
          <w:szCs w:val="24"/>
        </w:rPr>
        <w:t>stationary test</w:t>
      </w:r>
      <w:r w:rsidR="003C2196">
        <w:rPr>
          <w:rFonts w:ascii="Times New Roman" w:hAnsi="Times New Roman" w:cs="Times New Roman"/>
          <w:bCs/>
          <w:sz w:val="24"/>
          <w:szCs w:val="24"/>
        </w:rPr>
        <w:t>s</w:t>
      </w:r>
      <w:r>
        <w:rPr>
          <w:rFonts w:ascii="Times New Roman" w:hAnsi="Times New Roman" w:cs="Times New Roman"/>
          <w:bCs/>
          <w:sz w:val="24"/>
          <w:szCs w:val="24"/>
        </w:rPr>
        <w:t xml:space="preserve"> of the series</w:t>
      </w:r>
      <w:proofErr w:type="gramEnd"/>
      <w:r>
        <w:rPr>
          <w:rFonts w:ascii="Times New Roman" w:hAnsi="Times New Roman" w:cs="Times New Roman"/>
          <w:bCs/>
          <w:sz w:val="24"/>
          <w:szCs w:val="24"/>
        </w:rPr>
        <w:t xml:space="preserve"> which makes the result spurious and unreliable. However, this current study intends to carry out unit root test</w:t>
      </w:r>
      <w:r w:rsidR="003C2196">
        <w:rPr>
          <w:rFonts w:ascii="Times New Roman" w:hAnsi="Times New Roman" w:cs="Times New Roman"/>
          <w:bCs/>
          <w:sz w:val="24"/>
          <w:szCs w:val="24"/>
        </w:rPr>
        <w:t>s</w:t>
      </w:r>
      <w:r>
        <w:rPr>
          <w:rFonts w:ascii="Times New Roman" w:hAnsi="Times New Roman" w:cs="Times New Roman"/>
          <w:bCs/>
          <w:sz w:val="24"/>
          <w:szCs w:val="24"/>
        </w:rPr>
        <w:t xml:space="preserve"> of all the series used in the study.</w:t>
      </w:r>
      <w:r>
        <w:rPr>
          <w:rFonts w:ascii="Times New Roman" w:hAnsi="Times New Roman" w:cs="Times New Roman"/>
          <w:b/>
          <w:bCs/>
          <w:sz w:val="24"/>
          <w:szCs w:val="24"/>
        </w:rPr>
        <w:t xml:space="preserve"> </w:t>
      </w:r>
    </w:p>
    <w:p w14:paraId="30C917C2" w14:textId="77777777" w:rsidR="00FB3FAC" w:rsidRDefault="00FB3FAC" w:rsidP="00FB3FAC">
      <w:pPr>
        <w:spacing w:after="0" w:line="360" w:lineRule="auto"/>
        <w:ind w:right="-58"/>
        <w:jc w:val="both"/>
        <w:rPr>
          <w:rFonts w:ascii="Times New Roman" w:hAnsi="Times New Roman" w:cs="Times New Roman"/>
          <w:sz w:val="24"/>
          <w:szCs w:val="24"/>
        </w:rPr>
      </w:pPr>
    </w:p>
    <w:p w14:paraId="2A21ED97" w14:textId="1430D787" w:rsidR="00D4527B" w:rsidRPr="0032079E" w:rsidRDefault="00D4527B" w:rsidP="00FB3FAC">
      <w:pPr>
        <w:spacing w:after="0" w:line="360" w:lineRule="auto"/>
        <w:ind w:right="-58"/>
        <w:jc w:val="both"/>
        <w:rPr>
          <w:rFonts w:ascii="Times New Roman" w:hAnsi="Times New Roman" w:cs="Times New Roman"/>
          <w:sz w:val="24"/>
          <w:szCs w:val="24"/>
        </w:rPr>
      </w:pPr>
      <w:proofErr w:type="spellStart"/>
      <w:r w:rsidRPr="0032079E">
        <w:rPr>
          <w:rFonts w:ascii="Times New Roman" w:hAnsi="Times New Roman" w:cs="Times New Roman"/>
          <w:sz w:val="24"/>
          <w:szCs w:val="24"/>
        </w:rPr>
        <w:t>Abdulazeez</w:t>
      </w:r>
      <w:proofErr w:type="spellEnd"/>
      <w:r w:rsidRPr="0032079E">
        <w:rPr>
          <w:rFonts w:ascii="Times New Roman" w:hAnsi="Times New Roman" w:cs="Times New Roman"/>
          <w:sz w:val="24"/>
          <w:szCs w:val="24"/>
        </w:rPr>
        <w:t xml:space="preserve"> (2021)</w:t>
      </w:r>
      <w:r>
        <w:rPr>
          <w:rFonts w:ascii="Times New Roman" w:hAnsi="Times New Roman" w:cs="Times New Roman"/>
          <w:sz w:val="24"/>
          <w:szCs w:val="24"/>
        </w:rPr>
        <w:t xml:space="preserve"> examines the effect of ownership structure (management shareholding and ownership concentration) on loan quality of deposit money banks in Nigeria for the period 2008-2017. </w:t>
      </w:r>
      <w:r w:rsidR="003C2196">
        <w:rPr>
          <w:rFonts w:ascii="Times New Roman" w:hAnsi="Times New Roman" w:cs="Times New Roman"/>
          <w:sz w:val="24"/>
          <w:szCs w:val="24"/>
        </w:rPr>
        <w:t xml:space="preserve">The study </w:t>
      </w:r>
      <w:r>
        <w:rPr>
          <w:rFonts w:ascii="Times New Roman" w:hAnsi="Times New Roman" w:cs="Times New Roman"/>
          <w:sz w:val="24"/>
          <w:szCs w:val="24"/>
        </w:rPr>
        <w:t xml:space="preserve">utilized data extracted from the annual reports of the 14 studied banks. Robustness tests were conducted to determine the existence or otherwise of multicollinearity, </w:t>
      </w:r>
      <w:r w:rsidR="003C2196">
        <w:rPr>
          <w:rFonts w:ascii="Times New Roman" w:hAnsi="Times New Roman" w:cs="Times New Roman"/>
          <w:sz w:val="24"/>
          <w:szCs w:val="24"/>
        </w:rPr>
        <w:t xml:space="preserve">the </w:t>
      </w:r>
      <w:r>
        <w:rPr>
          <w:rFonts w:ascii="Times New Roman" w:hAnsi="Times New Roman" w:cs="Times New Roman"/>
          <w:sz w:val="24"/>
          <w:szCs w:val="24"/>
        </w:rPr>
        <w:t xml:space="preserve">fitness of the model and appropriate regression analysis for the study. Descriptive statistics, correlation and Fixed-Effect GLs regression were used to describe and analyze the data. The empirical findings showed that ownership structure has </w:t>
      </w:r>
      <w:r w:rsidR="003C2196">
        <w:rPr>
          <w:rFonts w:ascii="Times New Roman" w:hAnsi="Times New Roman" w:cs="Times New Roman"/>
          <w:sz w:val="24"/>
          <w:szCs w:val="24"/>
        </w:rPr>
        <w:t xml:space="preserve">a </w:t>
      </w:r>
      <w:r>
        <w:rPr>
          <w:rFonts w:ascii="Times New Roman" w:hAnsi="Times New Roman" w:cs="Times New Roman"/>
          <w:sz w:val="24"/>
          <w:szCs w:val="24"/>
        </w:rPr>
        <w:t xml:space="preserve">significant negative effect on </w:t>
      </w:r>
      <w:r w:rsidR="003C2196">
        <w:rPr>
          <w:rFonts w:ascii="Times New Roman" w:hAnsi="Times New Roman" w:cs="Times New Roman"/>
          <w:sz w:val="24"/>
          <w:szCs w:val="24"/>
        </w:rPr>
        <w:t xml:space="preserve">the </w:t>
      </w:r>
      <w:r>
        <w:rPr>
          <w:rFonts w:ascii="Times New Roman" w:hAnsi="Times New Roman" w:cs="Times New Roman"/>
          <w:sz w:val="24"/>
          <w:szCs w:val="24"/>
        </w:rPr>
        <w:t>loan quality of banks in Nigeria.</w:t>
      </w:r>
    </w:p>
    <w:p w14:paraId="3884B6C8" w14:textId="77777777" w:rsidR="00FB3FAC" w:rsidRDefault="00FB3FAC" w:rsidP="00FB3FAC">
      <w:pPr>
        <w:spacing w:after="0" w:line="360" w:lineRule="auto"/>
        <w:ind w:right="-58"/>
        <w:jc w:val="both"/>
        <w:rPr>
          <w:rFonts w:ascii="Times New Roman" w:hAnsi="Times New Roman" w:cs="Times New Roman"/>
          <w:sz w:val="24"/>
          <w:szCs w:val="24"/>
        </w:rPr>
      </w:pPr>
    </w:p>
    <w:p w14:paraId="72A47D83" w14:textId="5157505D" w:rsidR="00D4527B" w:rsidRDefault="00D4527B" w:rsidP="00FB3FAC">
      <w:pPr>
        <w:spacing w:after="0" w:line="360" w:lineRule="auto"/>
        <w:ind w:right="-58"/>
        <w:jc w:val="both"/>
        <w:rPr>
          <w:rFonts w:ascii="Times New Roman" w:hAnsi="Times New Roman" w:cs="Times New Roman"/>
          <w:sz w:val="24"/>
          <w:szCs w:val="24"/>
        </w:rPr>
      </w:pPr>
      <w:proofErr w:type="spellStart"/>
      <w:r w:rsidRPr="007B71C1">
        <w:rPr>
          <w:rFonts w:ascii="Times New Roman" w:hAnsi="Times New Roman" w:cs="Times New Roman"/>
          <w:sz w:val="24"/>
          <w:szCs w:val="24"/>
        </w:rPr>
        <w:t>Omboto</w:t>
      </w:r>
      <w:proofErr w:type="spellEnd"/>
      <w:r w:rsidRPr="007B71C1">
        <w:rPr>
          <w:rFonts w:ascii="Times New Roman" w:hAnsi="Times New Roman" w:cs="Times New Roman"/>
          <w:sz w:val="24"/>
          <w:szCs w:val="24"/>
        </w:rPr>
        <w:t xml:space="preserve"> and </w:t>
      </w:r>
      <w:proofErr w:type="spellStart"/>
      <w:r w:rsidRPr="007B71C1">
        <w:rPr>
          <w:rFonts w:ascii="Times New Roman" w:hAnsi="Times New Roman" w:cs="Times New Roman"/>
          <w:sz w:val="24"/>
          <w:szCs w:val="24"/>
        </w:rPr>
        <w:t>Mwengei</w:t>
      </w:r>
      <w:proofErr w:type="spellEnd"/>
      <w:r>
        <w:rPr>
          <w:rFonts w:ascii="Times New Roman" w:hAnsi="Times New Roman" w:cs="Times New Roman"/>
          <w:sz w:val="24"/>
          <w:szCs w:val="24"/>
        </w:rPr>
        <w:t xml:space="preserve"> (2019) examine the effect of local ownership structure on non-performing loans of commercial banks in Nairobi, Kenya. </w:t>
      </w:r>
      <w:r w:rsidR="003C2196">
        <w:rPr>
          <w:rFonts w:ascii="Times New Roman" w:hAnsi="Times New Roman" w:cs="Times New Roman"/>
          <w:sz w:val="24"/>
          <w:szCs w:val="24"/>
        </w:rPr>
        <w:t xml:space="preserve">The study </w:t>
      </w:r>
      <w:r>
        <w:rPr>
          <w:rFonts w:ascii="Times New Roman" w:hAnsi="Times New Roman" w:cs="Times New Roman"/>
          <w:sz w:val="24"/>
          <w:szCs w:val="24"/>
        </w:rPr>
        <w:t xml:space="preserve">adopted </w:t>
      </w:r>
      <w:r w:rsidR="003C2196">
        <w:rPr>
          <w:rFonts w:ascii="Times New Roman" w:hAnsi="Times New Roman" w:cs="Times New Roman"/>
          <w:sz w:val="24"/>
          <w:szCs w:val="24"/>
        </w:rPr>
        <w:t xml:space="preserve">a </w:t>
      </w:r>
      <w:r>
        <w:rPr>
          <w:rFonts w:ascii="Times New Roman" w:hAnsi="Times New Roman" w:cs="Times New Roman"/>
          <w:sz w:val="24"/>
          <w:szCs w:val="24"/>
        </w:rPr>
        <w:t xml:space="preserve">cross-sectional research design and </w:t>
      </w:r>
      <w:r w:rsidR="003C2196">
        <w:rPr>
          <w:rFonts w:ascii="Times New Roman" w:hAnsi="Times New Roman" w:cs="Times New Roman"/>
          <w:sz w:val="24"/>
          <w:szCs w:val="24"/>
        </w:rPr>
        <w:t xml:space="preserve">the </w:t>
      </w:r>
      <w:r>
        <w:rPr>
          <w:rFonts w:ascii="Times New Roman" w:hAnsi="Times New Roman" w:cs="Times New Roman"/>
          <w:sz w:val="24"/>
          <w:szCs w:val="24"/>
        </w:rPr>
        <w:t xml:space="preserve">population of the study comprised employees of 39 commercial banks in Nairobi city, Kenya. The respondents were 117 employees </w:t>
      </w:r>
      <w:r w:rsidR="003C2196">
        <w:rPr>
          <w:rFonts w:ascii="Times New Roman" w:hAnsi="Times New Roman" w:cs="Times New Roman"/>
          <w:sz w:val="24"/>
          <w:szCs w:val="24"/>
        </w:rPr>
        <w:t xml:space="preserve">including </w:t>
      </w:r>
      <w:r>
        <w:rPr>
          <w:rFonts w:ascii="Times New Roman" w:hAnsi="Times New Roman" w:cs="Times New Roman"/>
          <w:sz w:val="24"/>
          <w:szCs w:val="24"/>
        </w:rPr>
        <w:t xml:space="preserve">39 branch managers, 39 operations managers and 39 credit officers. </w:t>
      </w:r>
      <w:r w:rsidR="003C2196">
        <w:rPr>
          <w:rFonts w:ascii="Times New Roman" w:hAnsi="Times New Roman" w:cs="Times New Roman"/>
          <w:sz w:val="24"/>
          <w:szCs w:val="24"/>
        </w:rPr>
        <w:t xml:space="preserve">The study </w:t>
      </w:r>
      <w:r>
        <w:rPr>
          <w:rFonts w:ascii="Times New Roman" w:hAnsi="Times New Roman" w:cs="Times New Roman"/>
          <w:sz w:val="24"/>
          <w:szCs w:val="24"/>
        </w:rPr>
        <w:t xml:space="preserve">used Cronbach alpha Coefficient to determine the reliability of </w:t>
      </w:r>
      <w:r w:rsidR="003C2196">
        <w:rPr>
          <w:rFonts w:ascii="Times New Roman" w:hAnsi="Times New Roman" w:cs="Times New Roman"/>
          <w:sz w:val="24"/>
          <w:szCs w:val="24"/>
        </w:rPr>
        <w:t xml:space="preserve">the </w:t>
      </w:r>
      <w:r>
        <w:rPr>
          <w:rFonts w:ascii="Times New Roman" w:hAnsi="Times New Roman" w:cs="Times New Roman"/>
          <w:sz w:val="24"/>
          <w:szCs w:val="24"/>
        </w:rPr>
        <w:t>data collection instrument. Simple regression and Pearson Moment of Correlation were used for the data analysis. Findings showed that local ownership structure was a significant factor that influence non-performing loans of commercial banks in Kenyan. The study recommends that government should infuse private sector-like management systems and create a conducive environment to attract foreign investors who possess firm-specific advantages to foster growth. Furthermore, the study recommends that the institutions should retain ownership in foreign and local firms to enhance shareholders’ confidence, protect investments and monitor management.</w:t>
      </w:r>
    </w:p>
    <w:p w14:paraId="1DB2CF22" w14:textId="77777777" w:rsidR="00FB3FAC" w:rsidRPr="007B71C1" w:rsidRDefault="00FB3FAC" w:rsidP="00FB3FAC">
      <w:pPr>
        <w:spacing w:after="0" w:line="360" w:lineRule="auto"/>
        <w:ind w:right="-58"/>
        <w:jc w:val="both"/>
        <w:rPr>
          <w:rFonts w:ascii="Times New Roman" w:hAnsi="Times New Roman" w:cs="Times New Roman"/>
          <w:sz w:val="24"/>
          <w:szCs w:val="24"/>
        </w:rPr>
      </w:pPr>
    </w:p>
    <w:p w14:paraId="2B700B9E" w14:textId="6BEC4A0A" w:rsidR="00D4527B" w:rsidRDefault="00D4527B" w:rsidP="00FB3FAC">
      <w:pPr>
        <w:spacing w:after="0" w:line="360" w:lineRule="auto"/>
        <w:ind w:right="-58"/>
        <w:contextualSpacing/>
        <w:jc w:val="both"/>
        <w:rPr>
          <w:rFonts w:ascii="Times New Roman" w:hAnsi="Times New Roman" w:cs="Times New Roman"/>
          <w:bCs/>
          <w:sz w:val="24"/>
          <w:szCs w:val="24"/>
        </w:rPr>
      </w:pPr>
      <w:proofErr w:type="spellStart"/>
      <w:r w:rsidRPr="00BB2FAD">
        <w:rPr>
          <w:rFonts w:ascii="Times New Roman" w:hAnsi="Times New Roman" w:cs="Times New Roman"/>
          <w:bCs/>
          <w:sz w:val="24"/>
          <w:szCs w:val="24"/>
        </w:rPr>
        <w:t>Migliardo</w:t>
      </w:r>
      <w:proofErr w:type="spellEnd"/>
      <w:r w:rsidRPr="00BB2FAD">
        <w:rPr>
          <w:rFonts w:ascii="Times New Roman" w:hAnsi="Times New Roman" w:cs="Times New Roman"/>
          <w:bCs/>
          <w:sz w:val="24"/>
          <w:szCs w:val="24"/>
        </w:rPr>
        <w:t xml:space="preserve"> and </w:t>
      </w:r>
      <w:proofErr w:type="spellStart"/>
      <w:r w:rsidRPr="00BB2FAD">
        <w:rPr>
          <w:rFonts w:ascii="Times New Roman" w:hAnsi="Times New Roman" w:cs="Times New Roman"/>
          <w:bCs/>
          <w:sz w:val="24"/>
          <w:szCs w:val="24"/>
        </w:rPr>
        <w:t>F</w:t>
      </w:r>
      <w:r>
        <w:rPr>
          <w:rFonts w:ascii="Times New Roman" w:hAnsi="Times New Roman" w:cs="Times New Roman"/>
          <w:bCs/>
          <w:sz w:val="24"/>
          <w:szCs w:val="24"/>
        </w:rPr>
        <w:t>orgione</w:t>
      </w:r>
      <w:proofErr w:type="spellEnd"/>
      <w:r w:rsidRPr="00BB2FAD">
        <w:rPr>
          <w:rFonts w:ascii="Times New Roman" w:hAnsi="Times New Roman" w:cs="Times New Roman"/>
          <w:bCs/>
          <w:sz w:val="24"/>
          <w:szCs w:val="24"/>
        </w:rPr>
        <w:t xml:space="preserve"> (2018) co</w:t>
      </w:r>
      <w:r>
        <w:rPr>
          <w:rFonts w:ascii="Times New Roman" w:hAnsi="Times New Roman" w:cs="Times New Roman"/>
          <w:bCs/>
          <w:sz w:val="24"/>
          <w:szCs w:val="24"/>
        </w:rPr>
        <w:t>nduct</w:t>
      </w:r>
      <w:r w:rsidRPr="00BB2FAD">
        <w:rPr>
          <w:rFonts w:ascii="Times New Roman" w:hAnsi="Times New Roman" w:cs="Times New Roman"/>
          <w:bCs/>
          <w:sz w:val="24"/>
          <w:szCs w:val="24"/>
        </w:rPr>
        <w:t xml:space="preserve"> a s</w:t>
      </w:r>
      <w:r>
        <w:rPr>
          <w:rFonts w:ascii="Times New Roman" w:hAnsi="Times New Roman" w:cs="Times New Roman"/>
          <w:bCs/>
          <w:sz w:val="24"/>
          <w:szCs w:val="24"/>
        </w:rPr>
        <w:t xml:space="preserve">tudy to establish the impact </w:t>
      </w:r>
      <w:r w:rsidRPr="00BB2FAD">
        <w:rPr>
          <w:rFonts w:ascii="Times New Roman" w:hAnsi="Times New Roman" w:cs="Times New Roman"/>
          <w:bCs/>
          <w:sz w:val="24"/>
          <w:szCs w:val="24"/>
        </w:rPr>
        <w:t>of</w:t>
      </w:r>
      <w:r>
        <w:rPr>
          <w:rFonts w:ascii="Times New Roman" w:hAnsi="Times New Roman" w:cs="Times New Roman"/>
          <w:bCs/>
          <w:sz w:val="24"/>
          <w:szCs w:val="24"/>
        </w:rPr>
        <w:t xml:space="preserve"> ownership structure, Banks’ profitability, Risk, and technical efficiency</w:t>
      </w:r>
      <w:r w:rsidRPr="00BB2FAD">
        <w:rPr>
          <w:rFonts w:ascii="Times New Roman" w:hAnsi="Times New Roman" w:cs="Times New Roman"/>
          <w:bCs/>
          <w:sz w:val="24"/>
          <w:szCs w:val="24"/>
        </w:rPr>
        <w:t xml:space="preserve"> on 15 European Union (EU) countries. The </w:t>
      </w:r>
      <w:r w:rsidRPr="00BB2FAD">
        <w:rPr>
          <w:rFonts w:ascii="Times New Roman" w:hAnsi="Times New Roman" w:cs="Times New Roman"/>
          <w:bCs/>
          <w:sz w:val="24"/>
          <w:szCs w:val="24"/>
        </w:rPr>
        <w:lastRenderedPageBreak/>
        <w:t>study used a sample of 1,459 operating</w:t>
      </w:r>
      <w:r>
        <w:rPr>
          <w:rFonts w:ascii="Times New Roman" w:hAnsi="Times New Roman" w:cs="Times New Roman"/>
          <w:bCs/>
          <w:sz w:val="24"/>
          <w:szCs w:val="24"/>
        </w:rPr>
        <w:t xml:space="preserve"> banks</w:t>
      </w:r>
      <w:r w:rsidRPr="00BB2FAD">
        <w:rPr>
          <w:rFonts w:ascii="Times New Roman" w:hAnsi="Times New Roman" w:cs="Times New Roman"/>
          <w:bCs/>
          <w:sz w:val="24"/>
          <w:szCs w:val="24"/>
        </w:rPr>
        <w:t xml:space="preserve"> in EU-15 countries from 2011-2015 and constructs a set of continuous variables capturing the </w:t>
      </w:r>
      <w:r>
        <w:rPr>
          <w:rFonts w:ascii="Times New Roman" w:hAnsi="Times New Roman" w:cs="Times New Roman"/>
          <w:bCs/>
          <w:sz w:val="24"/>
          <w:szCs w:val="24"/>
        </w:rPr>
        <w:t>nature of ownership</w:t>
      </w:r>
      <w:r w:rsidRPr="00BB2FAD">
        <w:rPr>
          <w:rFonts w:ascii="Times New Roman" w:hAnsi="Times New Roman" w:cs="Times New Roman"/>
          <w:bCs/>
          <w:sz w:val="24"/>
          <w:szCs w:val="24"/>
        </w:rPr>
        <w:t xml:space="preserve"> concentration and their interactions. A panel data stochastic frontier analysis was conducted to estimate the time-varying technical efficiency for profitability and costs.  Empirical analysis shows that </w:t>
      </w:r>
      <w:r>
        <w:rPr>
          <w:rFonts w:ascii="Times New Roman" w:hAnsi="Times New Roman" w:cs="Times New Roman"/>
          <w:bCs/>
          <w:sz w:val="24"/>
          <w:szCs w:val="24"/>
        </w:rPr>
        <w:t>ownership concentration and bank performance are</w:t>
      </w:r>
      <w:r w:rsidRPr="00BB2FAD">
        <w:rPr>
          <w:rFonts w:ascii="Times New Roman" w:hAnsi="Times New Roman" w:cs="Times New Roman"/>
          <w:bCs/>
          <w:sz w:val="24"/>
          <w:szCs w:val="24"/>
        </w:rPr>
        <w:t xml:space="preserve"> affected by share</w:t>
      </w:r>
      <w:r>
        <w:rPr>
          <w:rFonts w:ascii="Times New Roman" w:hAnsi="Times New Roman" w:cs="Times New Roman"/>
          <w:bCs/>
          <w:sz w:val="24"/>
          <w:szCs w:val="24"/>
        </w:rPr>
        <w:t>h</w:t>
      </w:r>
      <w:r w:rsidRPr="00BB2FAD">
        <w:rPr>
          <w:rFonts w:ascii="Times New Roman" w:hAnsi="Times New Roman" w:cs="Times New Roman"/>
          <w:bCs/>
          <w:sz w:val="24"/>
          <w:szCs w:val="24"/>
        </w:rPr>
        <w:t>older</w:t>
      </w:r>
      <w:r w:rsidR="00EB0FD3">
        <w:rPr>
          <w:rFonts w:ascii="Times New Roman" w:hAnsi="Times New Roman" w:cs="Times New Roman"/>
          <w:bCs/>
          <w:sz w:val="24"/>
          <w:szCs w:val="24"/>
        </w:rPr>
        <w:t>-</w:t>
      </w:r>
      <w:r w:rsidRPr="00BB2FAD">
        <w:rPr>
          <w:rFonts w:ascii="Times New Roman" w:hAnsi="Times New Roman" w:cs="Times New Roman"/>
          <w:bCs/>
          <w:sz w:val="24"/>
          <w:szCs w:val="24"/>
        </w:rPr>
        <w:t xml:space="preserve">type. That is, the large-block shareholders are more profitable, less risky, </w:t>
      </w:r>
      <w:r>
        <w:rPr>
          <w:rFonts w:ascii="Times New Roman" w:hAnsi="Times New Roman" w:cs="Times New Roman"/>
          <w:bCs/>
          <w:sz w:val="24"/>
          <w:szCs w:val="24"/>
        </w:rPr>
        <w:t>and more efficient. The result further reveals that</w:t>
      </w:r>
      <w:r w:rsidRPr="00BB2FAD">
        <w:rPr>
          <w:rFonts w:ascii="Times New Roman" w:hAnsi="Times New Roman" w:cs="Times New Roman"/>
          <w:bCs/>
          <w:sz w:val="24"/>
          <w:szCs w:val="24"/>
        </w:rPr>
        <w:t xml:space="preserve"> ownership concentration </w:t>
      </w:r>
      <w:r>
        <w:rPr>
          <w:rFonts w:ascii="Times New Roman" w:hAnsi="Times New Roman" w:cs="Times New Roman"/>
          <w:bCs/>
          <w:sz w:val="24"/>
          <w:szCs w:val="24"/>
        </w:rPr>
        <w:t>can off</w:t>
      </w:r>
      <w:r w:rsidR="00EB0FD3">
        <w:rPr>
          <w:rFonts w:ascii="Times New Roman" w:hAnsi="Times New Roman" w:cs="Times New Roman"/>
          <w:bCs/>
          <w:sz w:val="24"/>
          <w:szCs w:val="24"/>
        </w:rPr>
        <w:t>-</w:t>
      </w:r>
      <w:r>
        <w:rPr>
          <w:rFonts w:ascii="Times New Roman" w:hAnsi="Times New Roman" w:cs="Times New Roman"/>
          <w:bCs/>
          <w:sz w:val="24"/>
          <w:szCs w:val="24"/>
        </w:rPr>
        <w:t>set</w:t>
      </w:r>
      <w:r w:rsidRPr="00BB2FAD">
        <w:rPr>
          <w:rFonts w:ascii="Times New Roman" w:hAnsi="Times New Roman" w:cs="Times New Roman"/>
          <w:bCs/>
          <w:sz w:val="24"/>
          <w:szCs w:val="24"/>
        </w:rPr>
        <w:t xml:space="preserve"> the negative effe</w:t>
      </w:r>
      <w:r>
        <w:rPr>
          <w:rFonts w:ascii="Times New Roman" w:hAnsi="Times New Roman" w:cs="Times New Roman"/>
          <w:bCs/>
          <w:sz w:val="24"/>
          <w:szCs w:val="24"/>
        </w:rPr>
        <w:t>ct related to institutional bank</w:t>
      </w:r>
      <w:r w:rsidRPr="00BB2FAD">
        <w:rPr>
          <w:rFonts w:ascii="Times New Roman" w:hAnsi="Times New Roman" w:cs="Times New Roman"/>
          <w:bCs/>
          <w:sz w:val="24"/>
          <w:szCs w:val="24"/>
        </w:rPr>
        <w:t xml:space="preserve"> and industry-</w:t>
      </w:r>
      <w:r>
        <w:rPr>
          <w:rFonts w:ascii="Times New Roman" w:hAnsi="Times New Roman" w:cs="Times New Roman"/>
          <w:bCs/>
          <w:sz w:val="24"/>
          <w:szCs w:val="24"/>
        </w:rPr>
        <w:t xml:space="preserve">related ownership. This study used a panel data stochastic frontier analysis while the current study adopts the use of panel multiple regression which is considered the most appropriate tool for cause-effect studies. Similarly, the findings of this study may only </w:t>
      </w:r>
      <w:r w:rsidR="003C2196">
        <w:rPr>
          <w:rFonts w:ascii="Times New Roman" w:hAnsi="Times New Roman" w:cs="Times New Roman"/>
          <w:bCs/>
          <w:sz w:val="24"/>
          <w:szCs w:val="24"/>
        </w:rPr>
        <w:t>apply</w:t>
      </w:r>
      <w:r>
        <w:rPr>
          <w:rFonts w:ascii="Times New Roman" w:hAnsi="Times New Roman" w:cs="Times New Roman"/>
          <w:bCs/>
          <w:sz w:val="24"/>
          <w:szCs w:val="24"/>
        </w:rPr>
        <w:t xml:space="preserve"> to 15 EU countries; hence, there is </w:t>
      </w:r>
      <w:r w:rsidR="003C2196">
        <w:rPr>
          <w:rFonts w:ascii="Times New Roman" w:hAnsi="Times New Roman" w:cs="Times New Roman"/>
          <w:bCs/>
          <w:sz w:val="24"/>
          <w:szCs w:val="24"/>
        </w:rPr>
        <w:t xml:space="preserve">a </w:t>
      </w:r>
      <w:r>
        <w:rPr>
          <w:rFonts w:ascii="Times New Roman" w:hAnsi="Times New Roman" w:cs="Times New Roman"/>
          <w:bCs/>
          <w:sz w:val="24"/>
          <w:szCs w:val="24"/>
        </w:rPr>
        <w:t>need to conduct another</w:t>
      </w:r>
      <w:r w:rsidRPr="00BB2FAD">
        <w:rPr>
          <w:rFonts w:ascii="Times New Roman" w:hAnsi="Times New Roman" w:cs="Times New Roman"/>
          <w:bCs/>
          <w:sz w:val="24"/>
          <w:szCs w:val="24"/>
        </w:rPr>
        <w:t xml:space="preserve"> study to determine the effect of owners</w:t>
      </w:r>
      <w:r>
        <w:rPr>
          <w:rFonts w:ascii="Times New Roman" w:hAnsi="Times New Roman" w:cs="Times New Roman"/>
          <w:bCs/>
          <w:sz w:val="24"/>
          <w:szCs w:val="24"/>
        </w:rPr>
        <w:t>hip concentration on bad loans</w:t>
      </w:r>
      <w:r w:rsidRPr="00BB2FAD">
        <w:rPr>
          <w:rFonts w:ascii="Times New Roman" w:hAnsi="Times New Roman" w:cs="Times New Roman"/>
          <w:bCs/>
          <w:sz w:val="24"/>
          <w:szCs w:val="24"/>
        </w:rPr>
        <w:t xml:space="preserve"> in </w:t>
      </w:r>
      <w:r>
        <w:rPr>
          <w:rFonts w:ascii="Times New Roman" w:hAnsi="Times New Roman" w:cs="Times New Roman"/>
          <w:bCs/>
          <w:sz w:val="24"/>
          <w:szCs w:val="24"/>
        </w:rPr>
        <w:t>a developing economy like Nigerian.</w:t>
      </w:r>
    </w:p>
    <w:p w14:paraId="62E14762" w14:textId="77777777" w:rsidR="00FB3FAC" w:rsidRPr="004E1B08" w:rsidRDefault="00FB3FAC" w:rsidP="00FB3FAC">
      <w:pPr>
        <w:spacing w:after="0" w:line="360" w:lineRule="auto"/>
        <w:ind w:right="-58"/>
        <w:contextualSpacing/>
        <w:jc w:val="both"/>
        <w:rPr>
          <w:rFonts w:ascii="Times New Roman" w:hAnsi="Times New Roman" w:cs="Times New Roman"/>
          <w:bCs/>
          <w:sz w:val="24"/>
          <w:szCs w:val="24"/>
        </w:rPr>
      </w:pPr>
    </w:p>
    <w:p w14:paraId="5C714BCB" w14:textId="29D8E151" w:rsidR="00D66F53" w:rsidRDefault="00D4527B" w:rsidP="00FB3FAC">
      <w:pPr>
        <w:spacing w:after="0" w:line="360" w:lineRule="auto"/>
        <w:ind w:right="-58"/>
        <w:jc w:val="both"/>
        <w:rPr>
          <w:rFonts w:ascii="Times New Roman" w:hAnsi="Times New Roman" w:cs="Times New Roman"/>
          <w:bCs/>
          <w:sz w:val="24"/>
          <w:szCs w:val="24"/>
        </w:rPr>
      </w:pPr>
      <w:r>
        <w:rPr>
          <w:rFonts w:ascii="Times New Roman" w:hAnsi="Times New Roman" w:cs="Times New Roman"/>
          <w:bCs/>
          <w:sz w:val="24"/>
          <w:szCs w:val="24"/>
        </w:rPr>
        <w:t xml:space="preserve">Umar and Sun (2017) explore both macroeconomic and bank </w:t>
      </w:r>
      <w:r w:rsidR="003C2196">
        <w:rPr>
          <w:rFonts w:ascii="Times New Roman" w:hAnsi="Times New Roman" w:cs="Times New Roman"/>
          <w:bCs/>
          <w:sz w:val="24"/>
          <w:szCs w:val="24"/>
        </w:rPr>
        <w:t>industry-</w:t>
      </w:r>
      <w:r>
        <w:rPr>
          <w:rFonts w:ascii="Times New Roman" w:hAnsi="Times New Roman" w:cs="Times New Roman"/>
          <w:bCs/>
          <w:sz w:val="24"/>
          <w:szCs w:val="24"/>
        </w:rPr>
        <w:t xml:space="preserve">specific determinants of non-performing loans for Chinese listed banks from 2005 to 2014. Panel and Generalized Method of Moment (GMM) data techniques were employed.  Bank-specific variables considered were ownership concentration, credit quality, total-liabilities-to-total assets ratio and credit growth. Results show that ownership concentration and credit quality are significant determinants of non-performing loans in China. This study although rich and conducted in a similar industry, the current study is an improvement on the former </w:t>
      </w:r>
      <w:r w:rsidR="003C2196">
        <w:rPr>
          <w:rFonts w:ascii="Times New Roman" w:hAnsi="Times New Roman" w:cs="Times New Roman"/>
          <w:bCs/>
          <w:sz w:val="24"/>
          <w:szCs w:val="24"/>
        </w:rPr>
        <w:t xml:space="preserve">with </w:t>
      </w:r>
      <w:r>
        <w:rPr>
          <w:rFonts w:ascii="Times New Roman" w:hAnsi="Times New Roman" w:cs="Times New Roman"/>
          <w:bCs/>
          <w:sz w:val="24"/>
          <w:szCs w:val="24"/>
        </w:rPr>
        <w:t xml:space="preserve">respect to </w:t>
      </w:r>
      <w:r w:rsidR="003C2196">
        <w:rPr>
          <w:rFonts w:ascii="Times New Roman" w:hAnsi="Times New Roman" w:cs="Times New Roman"/>
          <w:bCs/>
          <w:sz w:val="24"/>
          <w:szCs w:val="24"/>
        </w:rPr>
        <w:t xml:space="preserve">the </w:t>
      </w:r>
      <w:r>
        <w:rPr>
          <w:rFonts w:ascii="Times New Roman" w:hAnsi="Times New Roman" w:cs="Times New Roman"/>
          <w:bCs/>
          <w:sz w:val="24"/>
          <w:szCs w:val="24"/>
        </w:rPr>
        <w:t>depth of variables used. Furthermore, this study was conducted in China while this current study focuses on the Nigerian banking sector</w:t>
      </w:r>
      <w:r w:rsidR="00FB3FAC">
        <w:rPr>
          <w:rFonts w:ascii="Times New Roman" w:hAnsi="Times New Roman" w:cs="Times New Roman"/>
          <w:bCs/>
          <w:sz w:val="24"/>
          <w:szCs w:val="24"/>
        </w:rPr>
        <w:t>.</w:t>
      </w:r>
    </w:p>
    <w:p w14:paraId="0048B480" w14:textId="77777777" w:rsidR="00FB3FAC" w:rsidRPr="00D0091C" w:rsidRDefault="00FB3FAC" w:rsidP="00FB3FAC">
      <w:pPr>
        <w:spacing w:after="0" w:line="360" w:lineRule="auto"/>
        <w:ind w:right="-58"/>
        <w:jc w:val="both"/>
        <w:rPr>
          <w:rFonts w:ascii="Times New Roman" w:hAnsi="Times New Roman" w:cs="Times New Roman"/>
          <w:b/>
          <w:bCs/>
          <w:sz w:val="24"/>
          <w:szCs w:val="24"/>
        </w:rPr>
      </w:pPr>
    </w:p>
    <w:p w14:paraId="47C40BA9" w14:textId="77777777" w:rsidR="0097729A" w:rsidRDefault="005F644B" w:rsidP="00FB3FAC">
      <w:pPr>
        <w:spacing w:after="0" w:line="360" w:lineRule="auto"/>
        <w:ind w:right="14"/>
        <w:jc w:val="both"/>
        <w:rPr>
          <w:rFonts w:ascii="Times New Roman" w:hAnsi="Times New Roman" w:cs="Times New Roman"/>
          <w:b/>
          <w:bCs/>
          <w:sz w:val="24"/>
          <w:szCs w:val="24"/>
        </w:rPr>
      </w:pPr>
      <w:bookmarkStart w:id="2" w:name="_Hlk92248086"/>
      <w:r w:rsidRPr="003D4632">
        <w:rPr>
          <w:rFonts w:ascii="Times New Roman" w:hAnsi="Times New Roman" w:cs="Times New Roman"/>
          <w:b/>
          <w:bCs/>
          <w:sz w:val="24"/>
          <w:szCs w:val="24"/>
        </w:rPr>
        <w:t xml:space="preserve">Theoretical </w:t>
      </w:r>
      <w:r w:rsidR="00E74785" w:rsidRPr="003D4632">
        <w:rPr>
          <w:rFonts w:ascii="Times New Roman" w:hAnsi="Times New Roman" w:cs="Times New Roman"/>
          <w:b/>
          <w:bCs/>
          <w:sz w:val="24"/>
          <w:szCs w:val="24"/>
        </w:rPr>
        <w:t>Framework</w:t>
      </w:r>
      <w:r w:rsidRPr="003D4632">
        <w:rPr>
          <w:rFonts w:ascii="Times New Roman" w:hAnsi="Times New Roman" w:cs="Times New Roman"/>
          <w:b/>
          <w:bCs/>
          <w:sz w:val="24"/>
          <w:szCs w:val="24"/>
        </w:rPr>
        <w:t xml:space="preserve"> </w:t>
      </w:r>
      <w:r w:rsidR="00822523" w:rsidRPr="003D4632">
        <w:rPr>
          <w:rFonts w:ascii="Times New Roman" w:hAnsi="Times New Roman" w:cs="Times New Roman"/>
          <w:b/>
          <w:bCs/>
          <w:sz w:val="24"/>
          <w:szCs w:val="24"/>
        </w:rPr>
        <w:t xml:space="preserve"> </w:t>
      </w:r>
    </w:p>
    <w:p w14:paraId="6EAEDB1B" w14:textId="68956EAF" w:rsidR="00AA7C4F" w:rsidRPr="0097729A" w:rsidRDefault="00CF3A25" w:rsidP="00FB3FAC">
      <w:pPr>
        <w:spacing w:after="0" w:line="360" w:lineRule="auto"/>
        <w:ind w:right="14"/>
        <w:jc w:val="both"/>
        <w:rPr>
          <w:rFonts w:ascii="Times New Roman" w:hAnsi="Times New Roman" w:cs="Times New Roman"/>
          <w:b/>
          <w:bCs/>
          <w:sz w:val="24"/>
          <w:szCs w:val="24"/>
        </w:rPr>
      </w:pPr>
      <w:r w:rsidRPr="003D4632">
        <w:rPr>
          <w:rFonts w:ascii="Times New Roman" w:hAnsi="Times New Roman" w:cs="Times New Roman"/>
          <w:bCs/>
          <w:sz w:val="24"/>
          <w:szCs w:val="24"/>
        </w:rPr>
        <w:t xml:space="preserve">This study is underpinned by </w:t>
      </w:r>
      <w:r w:rsidR="003C2196">
        <w:rPr>
          <w:rFonts w:ascii="Times New Roman" w:hAnsi="Times New Roman" w:cs="Times New Roman"/>
          <w:bCs/>
          <w:sz w:val="24"/>
          <w:szCs w:val="24"/>
        </w:rPr>
        <w:t xml:space="preserve">the </w:t>
      </w:r>
      <w:r w:rsidRPr="003D4632">
        <w:rPr>
          <w:rFonts w:ascii="Times New Roman" w:hAnsi="Times New Roman" w:cs="Times New Roman"/>
          <w:bCs/>
          <w:sz w:val="24"/>
          <w:szCs w:val="24"/>
        </w:rPr>
        <w:t>Agency theory</w:t>
      </w:r>
      <w:r w:rsidR="00822523" w:rsidRPr="003D4632">
        <w:rPr>
          <w:rFonts w:ascii="Times New Roman" w:hAnsi="Times New Roman" w:cs="Times New Roman"/>
          <w:bCs/>
          <w:sz w:val="24"/>
          <w:szCs w:val="24"/>
        </w:rPr>
        <w:t xml:space="preserve"> developed by </w:t>
      </w:r>
      <w:r w:rsidR="000C571E" w:rsidRPr="003D4632">
        <w:rPr>
          <w:rFonts w:ascii="Times New Roman" w:hAnsi="Times New Roman" w:cs="Times New Roman"/>
          <w:bCs/>
          <w:sz w:val="24"/>
          <w:szCs w:val="24"/>
        </w:rPr>
        <w:t xml:space="preserve">Jensen and </w:t>
      </w:r>
      <w:proofErr w:type="spellStart"/>
      <w:r w:rsidR="000C571E" w:rsidRPr="003D4632">
        <w:rPr>
          <w:rFonts w:ascii="Times New Roman" w:hAnsi="Times New Roman" w:cs="Times New Roman"/>
          <w:bCs/>
          <w:sz w:val="24"/>
          <w:szCs w:val="24"/>
        </w:rPr>
        <w:t>Mekling</w:t>
      </w:r>
      <w:proofErr w:type="spellEnd"/>
      <w:r w:rsidR="00822523" w:rsidRPr="003D4632">
        <w:rPr>
          <w:rFonts w:ascii="Times New Roman" w:hAnsi="Times New Roman" w:cs="Times New Roman"/>
          <w:bCs/>
          <w:sz w:val="24"/>
          <w:szCs w:val="24"/>
        </w:rPr>
        <w:t xml:space="preserve"> (1976). The theory sees managers as agents of the principal (shareholders) whos</w:t>
      </w:r>
      <w:r w:rsidR="00532C57" w:rsidRPr="003D4632">
        <w:rPr>
          <w:rFonts w:ascii="Times New Roman" w:hAnsi="Times New Roman" w:cs="Times New Roman"/>
          <w:bCs/>
          <w:sz w:val="24"/>
          <w:szCs w:val="24"/>
        </w:rPr>
        <w:t>e</w:t>
      </w:r>
      <w:r w:rsidR="00822523" w:rsidRPr="003D4632">
        <w:rPr>
          <w:rFonts w:ascii="Times New Roman" w:hAnsi="Times New Roman" w:cs="Times New Roman"/>
          <w:bCs/>
          <w:sz w:val="24"/>
          <w:szCs w:val="24"/>
        </w:rPr>
        <w:t xml:space="preserve"> interests must be protected at all times, Agency theory </w:t>
      </w:r>
      <w:r w:rsidR="003C2196">
        <w:rPr>
          <w:rFonts w:ascii="Times New Roman" w:hAnsi="Times New Roman" w:cs="Times New Roman"/>
          <w:bCs/>
          <w:sz w:val="24"/>
          <w:szCs w:val="24"/>
        </w:rPr>
        <w:t>concerning</w:t>
      </w:r>
      <w:r w:rsidR="00822523" w:rsidRPr="003D4632">
        <w:rPr>
          <w:rFonts w:ascii="Times New Roman" w:hAnsi="Times New Roman" w:cs="Times New Roman"/>
          <w:bCs/>
          <w:sz w:val="24"/>
          <w:szCs w:val="24"/>
        </w:rPr>
        <w:t xml:space="preserve"> ownership concentration shows that activities of banks will be properly monitored when certain individuals have </w:t>
      </w:r>
      <w:r w:rsidR="003C2196">
        <w:rPr>
          <w:rFonts w:ascii="Times New Roman" w:hAnsi="Times New Roman" w:cs="Times New Roman"/>
          <w:bCs/>
          <w:sz w:val="24"/>
          <w:szCs w:val="24"/>
        </w:rPr>
        <w:t xml:space="preserve">a </w:t>
      </w:r>
      <w:r w:rsidR="00822523" w:rsidRPr="003D4632">
        <w:rPr>
          <w:rFonts w:ascii="Times New Roman" w:hAnsi="Times New Roman" w:cs="Times New Roman"/>
          <w:bCs/>
          <w:sz w:val="24"/>
          <w:szCs w:val="24"/>
        </w:rPr>
        <w:t xml:space="preserve">major ownership stake and managers will ordinarily engage in shareholders friendly activities when they own shares </w:t>
      </w:r>
      <w:r w:rsidR="00532C57" w:rsidRPr="003D4632">
        <w:rPr>
          <w:rFonts w:ascii="Times New Roman" w:hAnsi="Times New Roman" w:cs="Times New Roman"/>
          <w:bCs/>
          <w:sz w:val="24"/>
          <w:szCs w:val="24"/>
        </w:rPr>
        <w:t>in the banks. The essence is to promote the relationship between shareholders and managers</w:t>
      </w:r>
      <w:bookmarkStart w:id="3" w:name="_Hlk92248128"/>
      <w:bookmarkEnd w:id="2"/>
    </w:p>
    <w:p w14:paraId="591F2D03" w14:textId="77777777" w:rsidR="00FB3FAC" w:rsidRDefault="00AA7C4F" w:rsidP="00FB3FAC">
      <w:pPr>
        <w:autoSpaceDE w:val="0"/>
        <w:autoSpaceDN w:val="0"/>
        <w:adjustRightInd w:val="0"/>
        <w:spacing w:after="0" w:line="360" w:lineRule="auto"/>
        <w:ind w:right="8"/>
        <w:jc w:val="both"/>
        <w:rPr>
          <w:rFonts w:ascii="Times New Roman" w:hAnsi="Times New Roman" w:cs="Times New Roman"/>
          <w:sz w:val="24"/>
          <w:szCs w:val="24"/>
        </w:rPr>
      </w:pPr>
      <w:r w:rsidRPr="003D4632">
        <w:rPr>
          <w:rFonts w:ascii="Times New Roman" w:hAnsi="Times New Roman" w:cs="Times New Roman"/>
          <w:sz w:val="24"/>
          <w:szCs w:val="24"/>
        </w:rPr>
        <w:t xml:space="preserve">Separation of ownership and control has been characterized as an agency problem </w:t>
      </w:r>
      <w:r w:rsidR="008162F6">
        <w:rPr>
          <w:rFonts w:ascii="Times New Roman" w:hAnsi="Times New Roman" w:cs="Times New Roman"/>
          <w:sz w:val="24"/>
          <w:szCs w:val="24"/>
        </w:rPr>
        <w:t>(</w:t>
      </w:r>
      <w:r w:rsidRPr="003D4632">
        <w:rPr>
          <w:rFonts w:ascii="Times New Roman" w:hAnsi="Times New Roman" w:cs="Times New Roman"/>
          <w:sz w:val="24"/>
          <w:szCs w:val="24"/>
        </w:rPr>
        <w:t xml:space="preserve">Jensen, </w:t>
      </w:r>
      <w:proofErr w:type="spellStart"/>
      <w:r w:rsidRPr="003D4632">
        <w:rPr>
          <w:rFonts w:ascii="Times New Roman" w:hAnsi="Times New Roman" w:cs="Times New Roman"/>
          <w:sz w:val="24"/>
          <w:szCs w:val="24"/>
        </w:rPr>
        <w:t>Meckling</w:t>
      </w:r>
      <w:proofErr w:type="spellEnd"/>
      <w:r w:rsidRPr="003D4632">
        <w:rPr>
          <w:rFonts w:ascii="Times New Roman" w:hAnsi="Times New Roman" w:cs="Times New Roman"/>
          <w:sz w:val="24"/>
          <w:szCs w:val="24"/>
        </w:rPr>
        <w:t xml:space="preserve"> 1976</w:t>
      </w:r>
      <w:r w:rsidR="008162F6">
        <w:rPr>
          <w:rFonts w:ascii="Times New Roman" w:hAnsi="Times New Roman" w:cs="Times New Roman"/>
          <w:sz w:val="24"/>
          <w:szCs w:val="24"/>
        </w:rPr>
        <w:t>)</w:t>
      </w:r>
      <w:r w:rsidRPr="003D4632">
        <w:rPr>
          <w:rFonts w:ascii="Times New Roman" w:hAnsi="Times New Roman" w:cs="Times New Roman"/>
          <w:sz w:val="24"/>
          <w:szCs w:val="24"/>
        </w:rPr>
        <w:t xml:space="preserve">. They </w:t>
      </w:r>
      <w:r w:rsidR="00532C57" w:rsidRPr="003D4632">
        <w:rPr>
          <w:rFonts w:ascii="Times New Roman" w:hAnsi="Times New Roman" w:cs="Times New Roman"/>
          <w:sz w:val="24"/>
          <w:szCs w:val="24"/>
        </w:rPr>
        <w:t>observed</w:t>
      </w:r>
      <w:r w:rsidRPr="003D4632">
        <w:rPr>
          <w:rFonts w:ascii="Times New Roman" w:hAnsi="Times New Roman" w:cs="Times New Roman"/>
          <w:sz w:val="24"/>
          <w:szCs w:val="24"/>
        </w:rPr>
        <w:t xml:space="preserve"> that managers are the agents who are hired to maximize the return to the shareholders who are the principals. As agents do not own the resources of </w:t>
      </w:r>
      <w:r w:rsidRPr="003D4632">
        <w:rPr>
          <w:rFonts w:ascii="Times New Roman" w:hAnsi="Times New Roman" w:cs="Times New Roman"/>
          <w:sz w:val="24"/>
          <w:szCs w:val="24"/>
        </w:rPr>
        <w:lastRenderedPageBreak/>
        <w:t xml:space="preserve">corporations, they may commit </w:t>
      </w:r>
      <w:r w:rsidR="00532C57" w:rsidRPr="003D4632">
        <w:rPr>
          <w:rFonts w:ascii="Times New Roman" w:hAnsi="Times New Roman" w:cs="Times New Roman"/>
          <w:sz w:val="24"/>
          <w:szCs w:val="24"/>
        </w:rPr>
        <w:t>moral hazards</w:t>
      </w:r>
      <w:r w:rsidRPr="003D4632">
        <w:rPr>
          <w:rFonts w:ascii="Times New Roman" w:hAnsi="Times New Roman" w:cs="Times New Roman"/>
          <w:sz w:val="24"/>
          <w:szCs w:val="24"/>
        </w:rPr>
        <w:t xml:space="preserve"> to increase their wealth</w:t>
      </w:r>
      <w:r w:rsidR="00A26746" w:rsidRPr="003D4632">
        <w:rPr>
          <w:rFonts w:ascii="Times New Roman" w:hAnsi="Times New Roman" w:cs="Times New Roman"/>
          <w:sz w:val="24"/>
          <w:szCs w:val="24"/>
        </w:rPr>
        <w:t xml:space="preserve"> which may cause</w:t>
      </w:r>
      <w:r w:rsidRPr="003D4632">
        <w:rPr>
          <w:rFonts w:ascii="Times New Roman" w:hAnsi="Times New Roman" w:cs="Times New Roman"/>
          <w:sz w:val="24"/>
          <w:szCs w:val="24"/>
        </w:rPr>
        <w:t xml:space="preserve"> owners to </w:t>
      </w:r>
      <w:r w:rsidR="00A26746" w:rsidRPr="003D4632">
        <w:rPr>
          <w:rFonts w:ascii="Times New Roman" w:hAnsi="Times New Roman" w:cs="Times New Roman"/>
          <w:sz w:val="24"/>
          <w:szCs w:val="24"/>
        </w:rPr>
        <w:t>incur</w:t>
      </w:r>
      <w:r w:rsidRPr="003D4632">
        <w:rPr>
          <w:rFonts w:ascii="Times New Roman" w:hAnsi="Times New Roman" w:cs="Times New Roman"/>
          <w:sz w:val="24"/>
          <w:szCs w:val="24"/>
        </w:rPr>
        <w:t xml:space="preserve"> losses. </w:t>
      </w:r>
    </w:p>
    <w:p w14:paraId="27BD61A6" w14:textId="77777777" w:rsidR="00FB3FAC" w:rsidRDefault="00FB3FAC" w:rsidP="00FB3FAC">
      <w:pPr>
        <w:autoSpaceDE w:val="0"/>
        <w:autoSpaceDN w:val="0"/>
        <w:adjustRightInd w:val="0"/>
        <w:spacing w:after="0" w:line="360" w:lineRule="auto"/>
        <w:ind w:right="8"/>
        <w:jc w:val="both"/>
        <w:rPr>
          <w:rFonts w:ascii="Times New Roman" w:hAnsi="Times New Roman" w:cs="Times New Roman"/>
          <w:sz w:val="24"/>
          <w:szCs w:val="24"/>
        </w:rPr>
      </w:pPr>
    </w:p>
    <w:p w14:paraId="310D91CF" w14:textId="667814A8" w:rsidR="00AA7C4F" w:rsidRPr="003D4632" w:rsidRDefault="00AA7C4F" w:rsidP="00FB3FAC">
      <w:pPr>
        <w:autoSpaceDE w:val="0"/>
        <w:autoSpaceDN w:val="0"/>
        <w:adjustRightInd w:val="0"/>
        <w:spacing w:after="0" w:line="360" w:lineRule="auto"/>
        <w:ind w:right="8"/>
        <w:jc w:val="both"/>
        <w:rPr>
          <w:rFonts w:ascii="Times New Roman" w:hAnsi="Times New Roman" w:cs="Times New Roman"/>
          <w:sz w:val="24"/>
          <w:szCs w:val="24"/>
        </w:rPr>
      </w:pPr>
      <w:r w:rsidRPr="003D4632">
        <w:rPr>
          <w:rFonts w:ascii="Times New Roman" w:hAnsi="Times New Roman" w:cs="Times New Roman"/>
          <w:sz w:val="24"/>
          <w:szCs w:val="24"/>
        </w:rPr>
        <w:t>Agency theory also describe</w:t>
      </w:r>
      <w:r w:rsidR="00A26746" w:rsidRPr="003D4632">
        <w:rPr>
          <w:rFonts w:ascii="Times New Roman" w:hAnsi="Times New Roman" w:cs="Times New Roman"/>
          <w:sz w:val="24"/>
          <w:szCs w:val="24"/>
        </w:rPr>
        <w:t>s</w:t>
      </w:r>
      <w:r w:rsidRPr="003D4632">
        <w:rPr>
          <w:rFonts w:ascii="Times New Roman" w:hAnsi="Times New Roman" w:cs="Times New Roman"/>
          <w:sz w:val="24"/>
          <w:szCs w:val="24"/>
        </w:rPr>
        <w:t xml:space="preserve"> some of the mechanisms which will reduce agency losses such as incentive schemes for managers through which managers will be rewarded for maximizing</w:t>
      </w:r>
      <w:r w:rsidR="00A26746" w:rsidRPr="003D4632">
        <w:rPr>
          <w:rFonts w:ascii="Times New Roman" w:hAnsi="Times New Roman" w:cs="Times New Roman"/>
          <w:sz w:val="24"/>
          <w:szCs w:val="24"/>
        </w:rPr>
        <w:t xml:space="preserve"> profit.</w:t>
      </w:r>
      <w:r w:rsidR="003D5333" w:rsidRPr="003D4632">
        <w:rPr>
          <w:rFonts w:ascii="Times New Roman" w:hAnsi="Times New Roman" w:cs="Times New Roman"/>
          <w:sz w:val="24"/>
          <w:szCs w:val="24"/>
        </w:rPr>
        <w:t xml:space="preserve"> This theory relate</w:t>
      </w:r>
      <w:r w:rsidR="00A3037A" w:rsidRPr="003D4632">
        <w:rPr>
          <w:rFonts w:ascii="Times New Roman" w:hAnsi="Times New Roman" w:cs="Times New Roman"/>
          <w:sz w:val="24"/>
          <w:szCs w:val="24"/>
        </w:rPr>
        <w:t>s</w:t>
      </w:r>
      <w:r w:rsidR="003D5333" w:rsidRPr="003D4632">
        <w:rPr>
          <w:rFonts w:ascii="Times New Roman" w:hAnsi="Times New Roman" w:cs="Times New Roman"/>
          <w:sz w:val="24"/>
          <w:szCs w:val="24"/>
        </w:rPr>
        <w:t xml:space="preserve"> to this study since it deal</w:t>
      </w:r>
      <w:r w:rsidR="00EA02D5" w:rsidRPr="003D4632">
        <w:rPr>
          <w:rFonts w:ascii="Times New Roman" w:hAnsi="Times New Roman" w:cs="Times New Roman"/>
          <w:sz w:val="24"/>
          <w:szCs w:val="24"/>
        </w:rPr>
        <w:t>s</w:t>
      </w:r>
      <w:r w:rsidR="003D5333" w:rsidRPr="003D4632">
        <w:rPr>
          <w:rFonts w:ascii="Times New Roman" w:hAnsi="Times New Roman" w:cs="Times New Roman"/>
          <w:sz w:val="24"/>
          <w:szCs w:val="24"/>
        </w:rPr>
        <w:t xml:space="preserve"> with ownership concentration and managers</w:t>
      </w:r>
      <w:r w:rsidR="00EA02D5" w:rsidRPr="003D4632">
        <w:rPr>
          <w:rFonts w:ascii="Times New Roman" w:hAnsi="Times New Roman" w:cs="Times New Roman"/>
          <w:sz w:val="24"/>
          <w:szCs w:val="24"/>
        </w:rPr>
        <w:t xml:space="preserve"> and how their role</w:t>
      </w:r>
      <w:r w:rsidR="00A26746" w:rsidRPr="003D4632">
        <w:rPr>
          <w:rFonts w:ascii="Times New Roman" w:hAnsi="Times New Roman" w:cs="Times New Roman"/>
          <w:sz w:val="24"/>
          <w:szCs w:val="24"/>
        </w:rPr>
        <w:t>s</w:t>
      </w:r>
      <w:r w:rsidR="00EA02D5" w:rsidRPr="003D4632">
        <w:rPr>
          <w:rFonts w:ascii="Times New Roman" w:hAnsi="Times New Roman" w:cs="Times New Roman"/>
          <w:sz w:val="24"/>
          <w:szCs w:val="24"/>
        </w:rPr>
        <w:t xml:space="preserve"> are </w:t>
      </w:r>
      <w:r w:rsidR="00A26746" w:rsidRPr="003D4632">
        <w:rPr>
          <w:rFonts w:ascii="Times New Roman" w:hAnsi="Times New Roman" w:cs="Times New Roman"/>
          <w:sz w:val="24"/>
          <w:szCs w:val="24"/>
        </w:rPr>
        <w:t>separated as</w:t>
      </w:r>
      <w:r w:rsidR="00EA02D5" w:rsidRPr="003D4632">
        <w:rPr>
          <w:rFonts w:ascii="Times New Roman" w:hAnsi="Times New Roman" w:cs="Times New Roman"/>
          <w:sz w:val="24"/>
          <w:szCs w:val="24"/>
        </w:rPr>
        <w:t xml:space="preserve"> well as their interest</w:t>
      </w:r>
      <w:r w:rsidR="003C2196">
        <w:rPr>
          <w:rFonts w:ascii="Times New Roman" w:hAnsi="Times New Roman" w:cs="Times New Roman"/>
          <w:sz w:val="24"/>
          <w:szCs w:val="24"/>
        </w:rPr>
        <w:t>s</w:t>
      </w:r>
      <w:r w:rsidR="00EA02D5" w:rsidRPr="003D4632">
        <w:rPr>
          <w:rFonts w:ascii="Times New Roman" w:hAnsi="Times New Roman" w:cs="Times New Roman"/>
          <w:sz w:val="24"/>
          <w:szCs w:val="24"/>
        </w:rPr>
        <w:t xml:space="preserve"> which brings about conflict of interest among them. It is pertinent </w:t>
      </w:r>
      <w:r w:rsidR="00A26746" w:rsidRPr="003D4632">
        <w:rPr>
          <w:rFonts w:ascii="Times New Roman" w:hAnsi="Times New Roman" w:cs="Times New Roman"/>
          <w:sz w:val="24"/>
          <w:szCs w:val="24"/>
        </w:rPr>
        <w:t xml:space="preserve">to note </w:t>
      </w:r>
      <w:r w:rsidR="00EA02D5" w:rsidRPr="003D4632">
        <w:rPr>
          <w:rFonts w:ascii="Times New Roman" w:hAnsi="Times New Roman" w:cs="Times New Roman"/>
          <w:sz w:val="24"/>
          <w:szCs w:val="24"/>
        </w:rPr>
        <w:t>that owners hardly manage the business by themselves</w:t>
      </w:r>
      <w:r w:rsidR="00A26746" w:rsidRPr="003D4632">
        <w:rPr>
          <w:rFonts w:ascii="Times New Roman" w:hAnsi="Times New Roman" w:cs="Times New Roman"/>
          <w:sz w:val="24"/>
          <w:szCs w:val="24"/>
        </w:rPr>
        <w:t xml:space="preserve"> but</w:t>
      </w:r>
      <w:r w:rsidR="00EA02D5" w:rsidRPr="003D4632">
        <w:rPr>
          <w:rFonts w:ascii="Times New Roman" w:hAnsi="Times New Roman" w:cs="Times New Roman"/>
          <w:sz w:val="24"/>
          <w:szCs w:val="24"/>
        </w:rPr>
        <w:t xml:space="preserve"> </w:t>
      </w:r>
      <w:r w:rsidR="002D0496" w:rsidRPr="003D4632">
        <w:rPr>
          <w:rFonts w:ascii="Times New Roman" w:hAnsi="Times New Roman" w:cs="Times New Roman"/>
          <w:sz w:val="24"/>
          <w:szCs w:val="24"/>
        </w:rPr>
        <w:t>employ managers</w:t>
      </w:r>
      <w:r w:rsidR="00EA02D5" w:rsidRPr="003D4632">
        <w:rPr>
          <w:rFonts w:ascii="Times New Roman" w:hAnsi="Times New Roman" w:cs="Times New Roman"/>
          <w:sz w:val="24"/>
          <w:szCs w:val="24"/>
        </w:rPr>
        <w:t xml:space="preserve"> who oversee the running and implement the decision</w:t>
      </w:r>
      <w:r w:rsidR="00A26746" w:rsidRPr="003D4632">
        <w:rPr>
          <w:rFonts w:ascii="Times New Roman" w:hAnsi="Times New Roman" w:cs="Times New Roman"/>
          <w:sz w:val="24"/>
          <w:szCs w:val="24"/>
        </w:rPr>
        <w:t>s</w:t>
      </w:r>
      <w:r w:rsidR="00EA02D5" w:rsidRPr="003D4632">
        <w:rPr>
          <w:rFonts w:ascii="Times New Roman" w:hAnsi="Times New Roman" w:cs="Times New Roman"/>
          <w:sz w:val="24"/>
          <w:szCs w:val="24"/>
        </w:rPr>
        <w:t xml:space="preserve"> of the owners to ensure </w:t>
      </w:r>
      <w:r w:rsidR="003C2196">
        <w:rPr>
          <w:rFonts w:ascii="Times New Roman" w:hAnsi="Times New Roman" w:cs="Times New Roman"/>
          <w:sz w:val="24"/>
          <w:szCs w:val="24"/>
        </w:rPr>
        <w:t xml:space="preserve">the </w:t>
      </w:r>
      <w:r w:rsidR="00EA02D5" w:rsidRPr="003D4632">
        <w:rPr>
          <w:rFonts w:ascii="Times New Roman" w:hAnsi="Times New Roman" w:cs="Times New Roman"/>
          <w:sz w:val="24"/>
          <w:szCs w:val="24"/>
        </w:rPr>
        <w:t xml:space="preserve">effective </w:t>
      </w:r>
      <w:proofErr w:type="spellStart"/>
      <w:r w:rsidR="003C2196" w:rsidRPr="003D4632">
        <w:rPr>
          <w:rFonts w:ascii="Times New Roman" w:hAnsi="Times New Roman" w:cs="Times New Roman"/>
          <w:sz w:val="24"/>
          <w:szCs w:val="24"/>
        </w:rPr>
        <w:t>reali</w:t>
      </w:r>
      <w:r w:rsidR="003C2196">
        <w:rPr>
          <w:rFonts w:ascii="Times New Roman" w:hAnsi="Times New Roman" w:cs="Times New Roman"/>
          <w:sz w:val="24"/>
          <w:szCs w:val="24"/>
        </w:rPr>
        <w:t>sation</w:t>
      </w:r>
      <w:proofErr w:type="spellEnd"/>
      <w:r w:rsidR="003C2196" w:rsidRPr="003D4632">
        <w:rPr>
          <w:rFonts w:ascii="Times New Roman" w:hAnsi="Times New Roman" w:cs="Times New Roman"/>
          <w:sz w:val="24"/>
          <w:szCs w:val="24"/>
        </w:rPr>
        <w:t xml:space="preserve"> </w:t>
      </w:r>
      <w:r w:rsidR="00EA02D5" w:rsidRPr="003D4632">
        <w:rPr>
          <w:rFonts w:ascii="Times New Roman" w:hAnsi="Times New Roman" w:cs="Times New Roman"/>
          <w:sz w:val="24"/>
          <w:szCs w:val="24"/>
        </w:rPr>
        <w:t>of non-performing loan</w:t>
      </w:r>
      <w:r w:rsidR="003C2196">
        <w:rPr>
          <w:rFonts w:ascii="Times New Roman" w:hAnsi="Times New Roman" w:cs="Times New Roman"/>
          <w:sz w:val="24"/>
          <w:szCs w:val="24"/>
        </w:rPr>
        <w:t>s</w:t>
      </w:r>
      <w:r w:rsidR="00EA02D5" w:rsidRPr="003D4632">
        <w:rPr>
          <w:rFonts w:ascii="Times New Roman" w:hAnsi="Times New Roman" w:cs="Times New Roman"/>
          <w:sz w:val="24"/>
          <w:szCs w:val="24"/>
        </w:rPr>
        <w:t xml:space="preserve">. </w:t>
      </w:r>
      <w:r w:rsidR="00A3037A" w:rsidRPr="003D4632">
        <w:rPr>
          <w:rFonts w:ascii="Times New Roman" w:hAnsi="Times New Roman" w:cs="Times New Roman"/>
          <w:sz w:val="24"/>
          <w:szCs w:val="24"/>
        </w:rPr>
        <w:t xml:space="preserve"> </w:t>
      </w:r>
      <w:r w:rsidR="003D5333" w:rsidRPr="003D4632">
        <w:rPr>
          <w:rFonts w:ascii="Times New Roman" w:hAnsi="Times New Roman" w:cs="Times New Roman"/>
          <w:sz w:val="24"/>
          <w:szCs w:val="24"/>
        </w:rPr>
        <w:t xml:space="preserve"> </w:t>
      </w:r>
    </w:p>
    <w:p w14:paraId="33A9AEDC" w14:textId="7E433315" w:rsidR="00AA7C4F" w:rsidRPr="003D4632" w:rsidRDefault="00AA7C4F" w:rsidP="00FB3FAC">
      <w:pPr>
        <w:autoSpaceDE w:val="0"/>
        <w:autoSpaceDN w:val="0"/>
        <w:adjustRightInd w:val="0"/>
        <w:spacing w:after="0" w:line="240" w:lineRule="auto"/>
        <w:ind w:right="8"/>
        <w:jc w:val="both"/>
        <w:rPr>
          <w:rFonts w:ascii="Times New Roman" w:hAnsi="Times New Roman" w:cs="Times New Roman"/>
          <w:b/>
          <w:bCs/>
          <w:sz w:val="24"/>
          <w:szCs w:val="24"/>
        </w:rPr>
      </w:pPr>
    </w:p>
    <w:p w14:paraId="25510920" w14:textId="5C1F9C6E" w:rsidR="00EA4A5B" w:rsidRPr="003D4632" w:rsidRDefault="00350949" w:rsidP="00FB3FAC">
      <w:pPr>
        <w:autoSpaceDE w:val="0"/>
        <w:autoSpaceDN w:val="0"/>
        <w:adjustRightInd w:val="0"/>
        <w:spacing w:after="0" w:line="360" w:lineRule="auto"/>
        <w:ind w:right="8"/>
        <w:jc w:val="both"/>
        <w:rPr>
          <w:rFonts w:ascii="Times New Roman" w:hAnsi="Times New Roman" w:cs="Times New Roman"/>
          <w:b/>
          <w:bCs/>
          <w:sz w:val="24"/>
          <w:szCs w:val="24"/>
        </w:rPr>
      </w:pPr>
      <w:r w:rsidRPr="003D4632">
        <w:rPr>
          <w:rFonts w:ascii="Times New Roman" w:hAnsi="Times New Roman" w:cs="Times New Roman"/>
          <w:b/>
          <w:bCs/>
          <w:sz w:val="24"/>
          <w:szCs w:val="24"/>
        </w:rPr>
        <w:t xml:space="preserve">Methodology </w:t>
      </w:r>
    </w:p>
    <w:p w14:paraId="22D33DFD" w14:textId="5D831361" w:rsidR="00C42859" w:rsidRDefault="00C42859" w:rsidP="00FB3FAC">
      <w:pPr>
        <w:spacing w:after="0" w:line="360" w:lineRule="auto"/>
        <w:jc w:val="both"/>
        <w:rPr>
          <w:rFonts w:ascii="Times New Roman" w:hAnsi="Times New Roman" w:cs="Times New Roman"/>
          <w:bCs/>
          <w:sz w:val="24"/>
          <w:szCs w:val="24"/>
        </w:rPr>
      </w:pPr>
      <w:r w:rsidRPr="003D4632">
        <w:rPr>
          <w:rFonts w:ascii="Times New Roman" w:hAnsi="Times New Roman" w:cs="Times New Roman"/>
          <w:color w:val="000000"/>
          <w:sz w:val="24"/>
          <w:szCs w:val="24"/>
        </w:rPr>
        <w:t xml:space="preserve">The study used </w:t>
      </w:r>
      <w:r w:rsidR="003C2196">
        <w:rPr>
          <w:rFonts w:ascii="Times New Roman" w:hAnsi="Times New Roman" w:cs="Times New Roman"/>
          <w:color w:val="000000"/>
          <w:sz w:val="24"/>
          <w:szCs w:val="24"/>
        </w:rPr>
        <w:t xml:space="preserve">an </w:t>
      </w:r>
      <w:r w:rsidRPr="00FB3FAC">
        <w:rPr>
          <w:rFonts w:ascii="Times New Roman" w:hAnsi="Times New Roman" w:cs="Times New Roman"/>
          <w:i/>
          <w:color w:val="000000"/>
          <w:sz w:val="24"/>
          <w:szCs w:val="24"/>
        </w:rPr>
        <w:t>ex-post facto</w:t>
      </w:r>
      <w:r w:rsidRPr="003D4632">
        <w:rPr>
          <w:rFonts w:ascii="Times New Roman" w:hAnsi="Times New Roman" w:cs="Times New Roman"/>
          <w:color w:val="000000"/>
          <w:sz w:val="24"/>
          <w:szCs w:val="24"/>
        </w:rPr>
        <w:t xml:space="preserve"> research design and this because the study tried to find out the cause</w:t>
      </w:r>
      <w:r w:rsidR="003C2196">
        <w:rPr>
          <w:rFonts w:ascii="Times New Roman" w:hAnsi="Times New Roman" w:cs="Times New Roman"/>
          <w:color w:val="000000"/>
          <w:sz w:val="24"/>
          <w:szCs w:val="24"/>
        </w:rPr>
        <w:t>-and-</w:t>
      </w:r>
      <w:r w:rsidRPr="003D4632">
        <w:rPr>
          <w:rFonts w:ascii="Times New Roman" w:hAnsi="Times New Roman" w:cs="Times New Roman"/>
          <w:color w:val="000000"/>
          <w:sz w:val="24"/>
          <w:szCs w:val="24"/>
        </w:rPr>
        <w:t>effect relationship between the variables.</w:t>
      </w:r>
      <w:r w:rsidRPr="003D4632">
        <w:rPr>
          <w:rFonts w:ascii="Times New Roman" w:hAnsi="Times New Roman" w:cs="Times New Roman"/>
          <w:sz w:val="24"/>
          <w:szCs w:val="24"/>
        </w:rPr>
        <w:t xml:space="preserve"> The reason is </w:t>
      </w:r>
      <w:r w:rsidR="003C2196">
        <w:rPr>
          <w:rFonts w:ascii="Times New Roman" w:hAnsi="Times New Roman" w:cs="Times New Roman"/>
          <w:sz w:val="24"/>
          <w:szCs w:val="24"/>
        </w:rPr>
        <w:t>that</w:t>
      </w:r>
      <w:r w:rsidR="003C2196" w:rsidRPr="003D4632">
        <w:rPr>
          <w:rFonts w:ascii="Times New Roman" w:hAnsi="Times New Roman" w:cs="Times New Roman"/>
          <w:sz w:val="24"/>
          <w:szCs w:val="24"/>
        </w:rPr>
        <w:t xml:space="preserve"> </w:t>
      </w:r>
      <w:r w:rsidRPr="00FB3FAC">
        <w:rPr>
          <w:rFonts w:ascii="Times New Roman" w:hAnsi="Times New Roman" w:cs="Times New Roman"/>
          <w:i/>
          <w:sz w:val="24"/>
          <w:szCs w:val="24"/>
        </w:rPr>
        <w:t>ex-post facto</w:t>
      </w:r>
      <w:r w:rsidRPr="003D4632">
        <w:rPr>
          <w:rFonts w:ascii="Times New Roman" w:hAnsi="Times New Roman" w:cs="Times New Roman"/>
          <w:sz w:val="24"/>
          <w:szCs w:val="24"/>
        </w:rPr>
        <w:t xml:space="preserve"> research design is a systematic empirical inquiry in which the researcher does not have direct control </w:t>
      </w:r>
      <w:r w:rsidR="003C2196" w:rsidRPr="003D4632">
        <w:rPr>
          <w:rFonts w:ascii="Times New Roman" w:hAnsi="Times New Roman" w:cs="Times New Roman"/>
          <w:sz w:val="24"/>
          <w:szCs w:val="24"/>
        </w:rPr>
        <w:t>o</w:t>
      </w:r>
      <w:r w:rsidR="003C2196">
        <w:rPr>
          <w:rFonts w:ascii="Times New Roman" w:hAnsi="Times New Roman" w:cs="Times New Roman"/>
          <w:sz w:val="24"/>
          <w:szCs w:val="24"/>
        </w:rPr>
        <w:t xml:space="preserve">ver </w:t>
      </w:r>
      <w:r w:rsidRPr="003D4632">
        <w:rPr>
          <w:rFonts w:ascii="Times New Roman" w:hAnsi="Times New Roman" w:cs="Times New Roman"/>
          <w:sz w:val="24"/>
          <w:szCs w:val="24"/>
        </w:rPr>
        <w:t>variables</w:t>
      </w:r>
      <w:r w:rsidR="003C2196">
        <w:rPr>
          <w:rFonts w:ascii="Times New Roman" w:hAnsi="Times New Roman" w:cs="Times New Roman"/>
          <w:sz w:val="24"/>
          <w:szCs w:val="24"/>
        </w:rPr>
        <w:t>. After all,</w:t>
      </w:r>
      <w:r w:rsidRPr="003D4632">
        <w:rPr>
          <w:rFonts w:ascii="Times New Roman" w:hAnsi="Times New Roman" w:cs="Times New Roman"/>
          <w:sz w:val="24"/>
          <w:szCs w:val="24"/>
        </w:rPr>
        <w:t xml:space="preserve"> their manifestations have already occurred and they are inherently not manipulated. </w:t>
      </w:r>
      <w:r w:rsidRPr="003D4632">
        <w:rPr>
          <w:rFonts w:ascii="Times New Roman" w:hAnsi="Times New Roman" w:cs="Times New Roman"/>
          <w:sz w:val="24"/>
          <w:szCs w:val="24"/>
          <w:lang w:val="en-ZA"/>
        </w:rPr>
        <w:t>The population of this study comprise all</w:t>
      </w:r>
      <w:r w:rsidRPr="003D4632">
        <w:rPr>
          <w:rFonts w:ascii="Times New Roman" w:hAnsi="Times New Roman" w:cs="Times New Roman"/>
          <w:sz w:val="24"/>
          <w:szCs w:val="24"/>
        </w:rPr>
        <w:t xml:space="preserve"> quoted deposit money Banks in Nigeria trading currently on the floor of the Nigerian Exchange </w:t>
      </w:r>
      <w:r w:rsidR="007E28B1" w:rsidRPr="003D4632">
        <w:rPr>
          <w:rFonts w:ascii="Times New Roman" w:hAnsi="Times New Roman" w:cs="Times New Roman"/>
          <w:sz w:val="24"/>
          <w:szCs w:val="24"/>
        </w:rPr>
        <w:t xml:space="preserve">Group </w:t>
      </w:r>
      <w:r w:rsidRPr="003D4632">
        <w:rPr>
          <w:rFonts w:ascii="Times New Roman" w:hAnsi="Times New Roman" w:cs="Times New Roman"/>
          <w:sz w:val="24"/>
          <w:szCs w:val="24"/>
        </w:rPr>
        <w:t xml:space="preserve">as </w:t>
      </w:r>
      <w:r w:rsidR="003C2196">
        <w:rPr>
          <w:rFonts w:ascii="Times New Roman" w:hAnsi="Times New Roman" w:cs="Times New Roman"/>
          <w:sz w:val="24"/>
          <w:szCs w:val="24"/>
        </w:rPr>
        <w:t>of</w:t>
      </w:r>
      <w:r w:rsidR="003C2196" w:rsidRPr="003D4632">
        <w:rPr>
          <w:rFonts w:ascii="Times New Roman" w:hAnsi="Times New Roman" w:cs="Times New Roman"/>
          <w:sz w:val="24"/>
          <w:szCs w:val="24"/>
        </w:rPr>
        <w:t xml:space="preserve"> </w:t>
      </w:r>
      <w:r w:rsidRPr="003D4632">
        <w:rPr>
          <w:rFonts w:ascii="Times New Roman" w:hAnsi="Times New Roman" w:cs="Times New Roman"/>
          <w:sz w:val="24"/>
          <w:szCs w:val="24"/>
        </w:rPr>
        <w:t xml:space="preserve">2021, As </w:t>
      </w:r>
      <w:r w:rsidR="003C2196">
        <w:rPr>
          <w:rFonts w:ascii="Times New Roman" w:hAnsi="Times New Roman" w:cs="Times New Roman"/>
          <w:sz w:val="24"/>
          <w:szCs w:val="24"/>
        </w:rPr>
        <w:t>of</w:t>
      </w:r>
      <w:r w:rsidR="003C2196" w:rsidRPr="003D4632">
        <w:rPr>
          <w:rFonts w:ascii="Times New Roman" w:hAnsi="Times New Roman" w:cs="Times New Roman"/>
          <w:sz w:val="24"/>
          <w:szCs w:val="24"/>
        </w:rPr>
        <w:t xml:space="preserve"> </w:t>
      </w:r>
      <w:r w:rsidRPr="003D4632">
        <w:rPr>
          <w:rFonts w:ascii="Times New Roman" w:hAnsi="Times New Roman" w:cs="Times New Roman"/>
          <w:sz w:val="24"/>
          <w:szCs w:val="24"/>
        </w:rPr>
        <w:t>December 202</w:t>
      </w:r>
      <w:r w:rsidR="001623F8" w:rsidRPr="003D4632">
        <w:rPr>
          <w:rFonts w:ascii="Times New Roman" w:hAnsi="Times New Roman" w:cs="Times New Roman"/>
          <w:sz w:val="24"/>
          <w:szCs w:val="24"/>
        </w:rPr>
        <w:t>1</w:t>
      </w:r>
      <w:r w:rsidRPr="003D4632">
        <w:rPr>
          <w:rFonts w:ascii="Times New Roman" w:hAnsi="Times New Roman" w:cs="Times New Roman"/>
          <w:sz w:val="24"/>
          <w:szCs w:val="24"/>
        </w:rPr>
        <w:t xml:space="preserve">, there </w:t>
      </w:r>
      <w:r w:rsidR="007E28B1" w:rsidRPr="003D4632">
        <w:rPr>
          <w:rFonts w:ascii="Times New Roman" w:hAnsi="Times New Roman" w:cs="Times New Roman"/>
          <w:sz w:val="24"/>
          <w:szCs w:val="24"/>
        </w:rPr>
        <w:t>were</w:t>
      </w:r>
      <w:r w:rsidRPr="003D4632">
        <w:rPr>
          <w:rFonts w:ascii="Times New Roman" w:hAnsi="Times New Roman" w:cs="Times New Roman"/>
          <w:sz w:val="24"/>
          <w:szCs w:val="24"/>
        </w:rPr>
        <w:t xml:space="preserve"> 14 listed deposit money banks in Nigeria. The study adopted </w:t>
      </w:r>
      <w:r w:rsidR="003C2196">
        <w:rPr>
          <w:rFonts w:ascii="Times New Roman" w:hAnsi="Times New Roman" w:cs="Times New Roman"/>
          <w:sz w:val="24"/>
          <w:szCs w:val="24"/>
        </w:rPr>
        <w:t xml:space="preserve">a </w:t>
      </w:r>
      <w:r w:rsidRPr="003D4632">
        <w:rPr>
          <w:rFonts w:ascii="Times New Roman" w:hAnsi="Times New Roman" w:cs="Times New Roman"/>
          <w:sz w:val="24"/>
          <w:szCs w:val="24"/>
        </w:rPr>
        <w:t xml:space="preserve">simple convenience sampling technique to collect data from the published annual accounts of the deposit money banks in Nigeria, </w:t>
      </w:r>
      <w:r w:rsidR="00CD17F3">
        <w:rPr>
          <w:rFonts w:ascii="Times New Roman" w:hAnsi="Times New Roman" w:cs="Times New Roman"/>
          <w:sz w:val="24"/>
          <w:szCs w:val="24"/>
        </w:rPr>
        <w:t xml:space="preserve">the </w:t>
      </w:r>
      <w:r w:rsidRPr="003D4632">
        <w:rPr>
          <w:rFonts w:ascii="Times New Roman" w:hAnsi="Times New Roman" w:cs="Times New Roman"/>
          <w:sz w:val="24"/>
          <w:szCs w:val="24"/>
        </w:rPr>
        <w:t xml:space="preserve">Central of Nigeria (CBN) statistical bulletin and the quarterly capital market service report because all the data needed </w:t>
      </w:r>
      <w:r w:rsidR="00EB44F6" w:rsidRPr="003D4632">
        <w:rPr>
          <w:rFonts w:ascii="Times New Roman" w:hAnsi="Times New Roman" w:cs="Times New Roman"/>
          <w:sz w:val="24"/>
          <w:szCs w:val="24"/>
        </w:rPr>
        <w:t>in this</w:t>
      </w:r>
      <w:r w:rsidRPr="003D4632">
        <w:rPr>
          <w:rFonts w:ascii="Times New Roman" w:hAnsi="Times New Roman" w:cs="Times New Roman"/>
          <w:sz w:val="24"/>
          <w:szCs w:val="24"/>
        </w:rPr>
        <w:t xml:space="preserve"> study are documented and the researcher only obtained</w:t>
      </w:r>
      <w:r w:rsidRPr="003D4632">
        <w:rPr>
          <w:rFonts w:ascii="Times New Roman" w:hAnsi="Times New Roman" w:cs="Times New Roman"/>
          <w:bCs/>
          <w:sz w:val="24"/>
          <w:szCs w:val="24"/>
        </w:rPr>
        <w:t xml:space="preserve"> it from these available sources.</w:t>
      </w:r>
    </w:p>
    <w:p w14:paraId="088B51CC" w14:textId="77777777" w:rsidR="00FB3FAC" w:rsidRPr="003D4632" w:rsidRDefault="00FB3FAC" w:rsidP="00FB3FAC">
      <w:pPr>
        <w:spacing w:after="0" w:line="360" w:lineRule="auto"/>
        <w:jc w:val="both"/>
        <w:rPr>
          <w:rFonts w:ascii="Times New Roman" w:hAnsi="Times New Roman" w:cs="Times New Roman"/>
          <w:sz w:val="24"/>
          <w:szCs w:val="24"/>
        </w:rPr>
      </w:pPr>
    </w:p>
    <w:p w14:paraId="4BD86302" w14:textId="184AE34E" w:rsidR="003C60FA" w:rsidRPr="003D4632" w:rsidRDefault="00C42859"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sz w:val="24"/>
          <w:szCs w:val="24"/>
        </w:rPr>
        <w:t xml:space="preserve">The study </w:t>
      </w:r>
      <w:r w:rsidR="00A302C1">
        <w:rPr>
          <w:rFonts w:ascii="Times New Roman" w:hAnsi="Times New Roman" w:cs="Times New Roman"/>
          <w:sz w:val="24"/>
          <w:szCs w:val="24"/>
        </w:rPr>
        <w:t>used</w:t>
      </w:r>
      <w:r w:rsidRPr="003D4632">
        <w:rPr>
          <w:rFonts w:ascii="Times New Roman" w:hAnsi="Times New Roman" w:cs="Times New Roman"/>
          <w:sz w:val="24"/>
          <w:szCs w:val="24"/>
        </w:rPr>
        <w:t xml:space="preserve"> the sample size </w:t>
      </w:r>
      <w:r w:rsidR="00A302C1">
        <w:rPr>
          <w:rFonts w:ascii="Times New Roman" w:hAnsi="Times New Roman" w:cs="Times New Roman"/>
          <w:sz w:val="24"/>
          <w:szCs w:val="24"/>
        </w:rPr>
        <w:t>of</w:t>
      </w:r>
      <w:r w:rsidRPr="003D4632">
        <w:rPr>
          <w:rFonts w:ascii="Times New Roman" w:hAnsi="Times New Roman" w:cs="Times New Roman"/>
          <w:sz w:val="24"/>
          <w:szCs w:val="24"/>
        </w:rPr>
        <w:t xml:space="preserve"> eight (8) deposit money banks </w:t>
      </w:r>
      <w:r w:rsidR="00A302C1">
        <w:rPr>
          <w:rFonts w:ascii="Times New Roman" w:hAnsi="Times New Roman" w:cs="Times New Roman"/>
          <w:sz w:val="24"/>
          <w:szCs w:val="24"/>
        </w:rPr>
        <w:t xml:space="preserve">licensed with international authorities </w:t>
      </w:r>
      <w:r w:rsidRPr="003D4632">
        <w:rPr>
          <w:rFonts w:ascii="Times New Roman" w:hAnsi="Times New Roman" w:cs="Times New Roman"/>
          <w:sz w:val="24"/>
          <w:szCs w:val="24"/>
        </w:rPr>
        <w:t xml:space="preserve">(Access Bank Plc, Fidelity Bank Plc, First City Monument Bank Plc (FCMB), First Bank Nigeria Limited, Guaranty Trust Bank Plc, Union Bank of Nigeria Plc, United Bank of Africa Plc (UBA) and Zenith Bank Plc). The criteria for this selection </w:t>
      </w:r>
      <w:r w:rsidR="001623F8" w:rsidRPr="003D4632">
        <w:rPr>
          <w:rFonts w:ascii="Times New Roman" w:hAnsi="Times New Roman" w:cs="Times New Roman"/>
          <w:sz w:val="24"/>
          <w:szCs w:val="24"/>
        </w:rPr>
        <w:t>are</w:t>
      </w:r>
      <w:r w:rsidRPr="003D4632">
        <w:rPr>
          <w:rFonts w:ascii="Times New Roman" w:hAnsi="Times New Roman" w:cs="Times New Roman"/>
          <w:sz w:val="24"/>
          <w:szCs w:val="24"/>
        </w:rPr>
        <w:t xml:space="preserve"> based on the fact that only these 8 tier 1 banks are perceived largest by assets and deposit</w:t>
      </w:r>
      <w:r w:rsidR="003C2196">
        <w:rPr>
          <w:rFonts w:ascii="Times New Roman" w:hAnsi="Times New Roman" w:cs="Times New Roman"/>
          <w:sz w:val="24"/>
          <w:szCs w:val="24"/>
        </w:rPr>
        <w:t>s</w:t>
      </w:r>
      <w:r w:rsidRPr="003D4632">
        <w:rPr>
          <w:rFonts w:ascii="Times New Roman" w:hAnsi="Times New Roman" w:cs="Times New Roman"/>
          <w:sz w:val="24"/>
          <w:szCs w:val="24"/>
        </w:rPr>
        <w:t xml:space="preserve"> and they are listed with international operational authorizations as of December 31, 2020.</w:t>
      </w:r>
      <w:r w:rsidR="00A302C1">
        <w:rPr>
          <w:rFonts w:ascii="Times New Roman" w:hAnsi="Times New Roman" w:cs="Times New Roman"/>
          <w:sz w:val="24"/>
          <w:szCs w:val="24"/>
        </w:rPr>
        <w:t xml:space="preserve"> A brief interaction with some key </w:t>
      </w:r>
      <w:r w:rsidR="0019093B">
        <w:rPr>
          <w:rFonts w:ascii="Times New Roman" w:hAnsi="Times New Roman" w:cs="Times New Roman"/>
          <w:sz w:val="24"/>
          <w:szCs w:val="24"/>
        </w:rPr>
        <w:t xml:space="preserve">bank </w:t>
      </w:r>
      <w:r w:rsidR="00A302C1">
        <w:rPr>
          <w:rFonts w:ascii="Times New Roman" w:hAnsi="Times New Roman" w:cs="Times New Roman"/>
          <w:sz w:val="24"/>
          <w:szCs w:val="24"/>
        </w:rPr>
        <w:t>customers</w:t>
      </w:r>
      <w:r w:rsidR="0019093B">
        <w:rPr>
          <w:rFonts w:ascii="Times New Roman" w:hAnsi="Times New Roman" w:cs="Times New Roman"/>
          <w:sz w:val="24"/>
          <w:szCs w:val="24"/>
        </w:rPr>
        <w:t xml:space="preserve"> and staff of </w:t>
      </w:r>
      <w:r w:rsidR="003C2196">
        <w:rPr>
          <w:rFonts w:ascii="Times New Roman" w:hAnsi="Times New Roman" w:cs="Times New Roman"/>
          <w:sz w:val="24"/>
          <w:szCs w:val="24"/>
        </w:rPr>
        <w:t xml:space="preserve">the </w:t>
      </w:r>
      <w:r w:rsidR="0019093B">
        <w:rPr>
          <w:rFonts w:ascii="Times New Roman" w:hAnsi="Times New Roman" w:cs="Times New Roman"/>
          <w:sz w:val="24"/>
          <w:szCs w:val="24"/>
        </w:rPr>
        <w:t>Nigeria exchange group</w:t>
      </w:r>
      <w:r w:rsidR="00A302C1">
        <w:rPr>
          <w:rFonts w:ascii="Times New Roman" w:hAnsi="Times New Roman" w:cs="Times New Roman"/>
          <w:sz w:val="24"/>
          <w:szCs w:val="24"/>
        </w:rPr>
        <w:t xml:space="preserve"> </w:t>
      </w:r>
      <w:r w:rsidR="0019093B">
        <w:rPr>
          <w:rFonts w:ascii="Times New Roman" w:hAnsi="Times New Roman" w:cs="Times New Roman"/>
          <w:sz w:val="24"/>
          <w:szCs w:val="24"/>
        </w:rPr>
        <w:t>has shown that</w:t>
      </w:r>
      <w:r w:rsidRPr="003D4632">
        <w:rPr>
          <w:rFonts w:ascii="Times New Roman" w:hAnsi="Times New Roman" w:cs="Times New Roman"/>
          <w:sz w:val="24"/>
          <w:szCs w:val="24"/>
        </w:rPr>
        <w:t xml:space="preserve"> only bank</w:t>
      </w:r>
      <w:r w:rsidR="00C559CC" w:rsidRPr="003D4632">
        <w:rPr>
          <w:rFonts w:ascii="Times New Roman" w:hAnsi="Times New Roman" w:cs="Times New Roman"/>
          <w:sz w:val="24"/>
          <w:szCs w:val="24"/>
        </w:rPr>
        <w:t>s</w:t>
      </w:r>
      <w:r w:rsidRPr="003D4632">
        <w:rPr>
          <w:rFonts w:ascii="Times New Roman" w:hAnsi="Times New Roman" w:cs="Times New Roman"/>
          <w:sz w:val="24"/>
          <w:szCs w:val="24"/>
        </w:rPr>
        <w:t xml:space="preserve"> licensed with international authorizations are</w:t>
      </w:r>
      <w:r w:rsidR="0019093B">
        <w:rPr>
          <w:rFonts w:ascii="Times New Roman" w:hAnsi="Times New Roman" w:cs="Times New Roman"/>
          <w:sz w:val="24"/>
          <w:szCs w:val="24"/>
        </w:rPr>
        <w:t xml:space="preserve"> usually preferred by most corporate bank clients and </w:t>
      </w:r>
      <w:r w:rsidRPr="003D4632">
        <w:rPr>
          <w:rFonts w:ascii="Times New Roman" w:hAnsi="Times New Roman" w:cs="Times New Roman"/>
          <w:sz w:val="24"/>
          <w:szCs w:val="24"/>
        </w:rPr>
        <w:t>major investors</w:t>
      </w:r>
      <w:r w:rsidR="004E5F0E" w:rsidRPr="003D4632">
        <w:rPr>
          <w:rFonts w:ascii="Times New Roman" w:hAnsi="Times New Roman" w:cs="Times New Roman"/>
          <w:sz w:val="24"/>
          <w:szCs w:val="24"/>
        </w:rPr>
        <w:t xml:space="preserve">. </w:t>
      </w:r>
      <w:r w:rsidRPr="003D4632">
        <w:rPr>
          <w:rFonts w:ascii="Times New Roman" w:hAnsi="Times New Roman" w:cs="Times New Roman"/>
          <w:sz w:val="24"/>
          <w:szCs w:val="24"/>
        </w:rPr>
        <w:t>The study used secondary data from banks’ annual reports</w:t>
      </w:r>
      <w:r w:rsidR="006F51D8" w:rsidRPr="003D4632">
        <w:rPr>
          <w:rFonts w:ascii="Times New Roman" w:hAnsi="Times New Roman" w:cs="Times New Roman"/>
          <w:sz w:val="24"/>
          <w:szCs w:val="24"/>
        </w:rPr>
        <w:t xml:space="preserve"> and </w:t>
      </w:r>
      <w:r w:rsidR="001623F8" w:rsidRPr="003D4632">
        <w:rPr>
          <w:rFonts w:ascii="Times New Roman" w:hAnsi="Times New Roman" w:cs="Times New Roman"/>
          <w:sz w:val="24"/>
          <w:szCs w:val="24"/>
        </w:rPr>
        <w:t>t</w:t>
      </w:r>
      <w:r w:rsidR="006F51D8" w:rsidRPr="003D4632">
        <w:rPr>
          <w:rFonts w:ascii="Times New Roman" w:hAnsi="Times New Roman" w:cs="Times New Roman"/>
          <w:sz w:val="24"/>
          <w:szCs w:val="24"/>
        </w:rPr>
        <w:t xml:space="preserve">he data for the study </w:t>
      </w:r>
      <w:r w:rsidR="006F51D8" w:rsidRPr="003D4632">
        <w:rPr>
          <w:rFonts w:ascii="Times New Roman" w:hAnsi="Times New Roman" w:cs="Times New Roman"/>
          <w:sz w:val="24"/>
          <w:szCs w:val="24"/>
        </w:rPr>
        <w:lastRenderedPageBreak/>
        <w:t xml:space="preserve">were </w:t>
      </w:r>
      <w:proofErr w:type="spellStart"/>
      <w:r w:rsidR="006F51D8" w:rsidRPr="003D4632">
        <w:rPr>
          <w:rFonts w:ascii="Times New Roman" w:hAnsi="Times New Roman" w:cs="Times New Roman"/>
          <w:sz w:val="24"/>
          <w:szCs w:val="24"/>
        </w:rPr>
        <w:t>analysed</w:t>
      </w:r>
      <w:proofErr w:type="spellEnd"/>
      <w:r w:rsidR="006F51D8" w:rsidRPr="003D4632">
        <w:rPr>
          <w:rFonts w:ascii="Times New Roman" w:hAnsi="Times New Roman" w:cs="Times New Roman"/>
          <w:sz w:val="24"/>
          <w:szCs w:val="24"/>
        </w:rPr>
        <w:t xml:space="preserve"> using correlation and panel regression. The panel regression was used for the test of hypotheses.  </w:t>
      </w:r>
    </w:p>
    <w:p w14:paraId="714A5616" w14:textId="730BB273" w:rsidR="003D4632" w:rsidRDefault="003D4632" w:rsidP="00FB3FAC">
      <w:pPr>
        <w:autoSpaceDE w:val="0"/>
        <w:autoSpaceDN w:val="0"/>
        <w:adjustRightInd w:val="0"/>
        <w:spacing w:after="0" w:line="360" w:lineRule="auto"/>
        <w:jc w:val="both"/>
        <w:rPr>
          <w:rFonts w:ascii="Times New Roman" w:hAnsi="Times New Roman" w:cs="Times New Roman"/>
          <w:b/>
          <w:sz w:val="24"/>
          <w:szCs w:val="24"/>
          <w:lang w:val="en-ZA"/>
        </w:rPr>
      </w:pPr>
    </w:p>
    <w:p w14:paraId="43F267DF" w14:textId="143FDE92" w:rsidR="006F51D8" w:rsidRPr="003D4632" w:rsidRDefault="006F51D8" w:rsidP="00FB3FAC">
      <w:pPr>
        <w:autoSpaceDE w:val="0"/>
        <w:autoSpaceDN w:val="0"/>
        <w:adjustRightInd w:val="0"/>
        <w:spacing w:after="0" w:line="240" w:lineRule="auto"/>
        <w:jc w:val="both"/>
        <w:rPr>
          <w:rFonts w:ascii="Times New Roman" w:hAnsi="Times New Roman" w:cs="Times New Roman"/>
          <w:b/>
          <w:sz w:val="24"/>
          <w:szCs w:val="24"/>
          <w:lang w:val="en-ZA"/>
        </w:rPr>
      </w:pPr>
      <w:r w:rsidRPr="003D4632">
        <w:rPr>
          <w:rFonts w:ascii="Times New Roman" w:hAnsi="Times New Roman" w:cs="Times New Roman"/>
          <w:b/>
          <w:sz w:val="24"/>
          <w:szCs w:val="24"/>
          <w:lang w:val="en-ZA"/>
        </w:rPr>
        <w:t xml:space="preserve">Table </w:t>
      </w:r>
      <w:r w:rsidR="001623F8" w:rsidRPr="003D4632">
        <w:rPr>
          <w:rFonts w:ascii="Times New Roman" w:hAnsi="Times New Roman" w:cs="Times New Roman"/>
          <w:b/>
          <w:sz w:val="24"/>
          <w:szCs w:val="24"/>
          <w:lang w:val="en-ZA"/>
        </w:rPr>
        <w:t>1</w:t>
      </w:r>
      <w:r w:rsidRPr="003D4632">
        <w:rPr>
          <w:rFonts w:ascii="Times New Roman" w:hAnsi="Times New Roman" w:cs="Times New Roman"/>
          <w:b/>
          <w:sz w:val="24"/>
          <w:szCs w:val="24"/>
          <w:lang w:val="en-ZA"/>
        </w:rPr>
        <w:t xml:space="preserve">: Measurement of the Variables </w:t>
      </w:r>
    </w:p>
    <w:tbl>
      <w:tblPr>
        <w:tblW w:w="9072" w:type="dxa"/>
        <w:tblLook w:val="04A0" w:firstRow="1" w:lastRow="0" w:firstColumn="1" w:lastColumn="0" w:noHBand="0" w:noVBand="1"/>
      </w:tblPr>
      <w:tblGrid>
        <w:gridCol w:w="2394"/>
        <w:gridCol w:w="3418"/>
        <w:gridCol w:w="3260"/>
      </w:tblGrid>
      <w:tr w:rsidR="006F51D8" w:rsidRPr="0059637B" w14:paraId="7AD33C7F" w14:textId="77777777" w:rsidTr="00E232C4">
        <w:tc>
          <w:tcPr>
            <w:tcW w:w="2394" w:type="dxa"/>
            <w:tcBorders>
              <w:top w:val="single" w:sz="4" w:space="0" w:color="auto"/>
              <w:bottom w:val="single" w:sz="4" w:space="0" w:color="auto"/>
            </w:tcBorders>
          </w:tcPr>
          <w:p w14:paraId="4587B65F" w14:textId="77777777" w:rsidR="006F51D8" w:rsidRPr="0059637B" w:rsidRDefault="006F51D8" w:rsidP="00FB3FAC">
            <w:pPr>
              <w:autoSpaceDE w:val="0"/>
              <w:autoSpaceDN w:val="0"/>
              <w:adjustRightInd w:val="0"/>
              <w:spacing w:after="0" w:line="240" w:lineRule="auto"/>
              <w:jc w:val="both"/>
              <w:rPr>
                <w:rFonts w:ascii="Times New Roman" w:hAnsi="Times New Roman" w:cs="Times New Roman"/>
                <w:b/>
                <w:bCs/>
                <w:sz w:val="24"/>
                <w:szCs w:val="24"/>
                <w:lang w:val="en-ZA"/>
              </w:rPr>
            </w:pPr>
            <w:r w:rsidRPr="0059637B">
              <w:rPr>
                <w:rFonts w:ascii="Times New Roman" w:hAnsi="Times New Roman" w:cs="Times New Roman"/>
                <w:b/>
                <w:bCs/>
                <w:sz w:val="24"/>
                <w:szCs w:val="24"/>
                <w:lang w:val="en-ZA"/>
              </w:rPr>
              <w:t xml:space="preserve">Variables  </w:t>
            </w:r>
          </w:p>
        </w:tc>
        <w:tc>
          <w:tcPr>
            <w:tcW w:w="3418" w:type="dxa"/>
            <w:tcBorders>
              <w:top w:val="single" w:sz="4" w:space="0" w:color="auto"/>
              <w:bottom w:val="single" w:sz="4" w:space="0" w:color="auto"/>
            </w:tcBorders>
          </w:tcPr>
          <w:p w14:paraId="026C249F" w14:textId="77777777" w:rsidR="006F51D8" w:rsidRPr="0059637B" w:rsidRDefault="006F51D8" w:rsidP="00FB3FAC">
            <w:pPr>
              <w:autoSpaceDE w:val="0"/>
              <w:autoSpaceDN w:val="0"/>
              <w:adjustRightInd w:val="0"/>
              <w:spacing w:after="0" w:line="240" w:lineRule="auto"/>
              <w:jc w:val="both"/>
              <w:rPr>
                <w:rFonts w:ascii="Times New Roman" w:hAnsi="Times New Roman" w:cs="Times New Roman"/>
                <w:b/>
                <w:bCs/>
                <w:sz w:val="24"/>
                <w:szCs w:val="24"/>
                <w:lang w:val="en-ZA"/>
              </w:rPr>
            </w:pPr>
            <w:r w:rsidRPr="0059637B">
              <w:rPr>
                <w:rFonts w:ascii="Times New Roman" w:hAnsi="Times New Roman" w:cs="Times New Roman"/>
                <w:b/>
                <w:bCs/>
                <w:sz w:val="24"/>
                <w:szCs w:val="24"/>
                <w:lang w:val="en-ZA"/>
              </w:rPr>
              <w:t xml:space="preserve">Measures </w:t>
            </w:r>
          </w:p>
        </w:tc>
        <w:tc>
          <w:tcPr>
            <w:tcW w:w="3260" w:type="dxa"/>
            <w:tcBorders>
              <w:top w:val="single" w:sz="4" w:space="0" w:color="auto"/>
              <w:bottom w:val="single" w:sz="4" w:space="0" w:color="auto"/>
            </w:tcBorders>
          </w:tcPr>
          <w:p w14:paraId="09C58D87" w14:textId="77777777" w:rsidR="006F51D8" w:rsidRPr="0059637B" w:rsidRDefault="006F51D8" w:rsidP="00FB3FAC">
            <w:pPr>
              <w:autoSpaceDE w:val="0"/>
              <w:autoSpaceDN w:val="0"/>
              <w:adjustRightInd w:val="0"/>
              <w:spacing w:after="0" w:line="240" w:lineRule="auto"/>
              <w:jc w:val="both"/>
              <w:rPr>
                <w:rFonts w:ascii="Times New Roman" w:hAnsi="Times New Roman" w:cs="Times New Roman"/>
                <w:b/>
                <w:bCs/>
                <w:sz w:val="24"/>
                <w:szCs w:val="24"/>
                <w:lang w:val="en-ZA"/>
              </w:rPr>
            </w:pPr>
            <w:r w:rsidRPr="0059637B">
              <w:rPr>
                <w:rFonts w:ascii="Times New Roman" w:hAnsi="Times New Roman" w:cs="Times New Roman"/>
                <w:b/>
                <w:bCs/>
                <w:sz w:val="24"/>
                <w:szCs w:val="24"/>
                <w:lang w:val="en-ZA"/>
              </w:rPr>
              <w:t xml:space="preserve">Authors </w:t>
            </w:r>
          </w:p>
        </w:tc>
      </w:tr>
      <w:tr w:rsidR="006F51D8" w:rsidRPr="003D4632" w14:paraId="2FB04B01" w14:textId="77777777" w:rsidTr="00E232C4">
        <w:tc>
          <w:tcPr>
            <w:tcW w:w="2394" w:type="dxa"/>
            <w:tcBorders>
              <w:top w:val="single" w:sz="4" w:space="0" w:color="auto"/>
            </w:tcBorders>
          </w:tcPr>
          <w:p w14:paraId="14C4DDC6" w14:textId="59DFDE38" w:rsidR="006F51D8" w:rsidRPr="003D4632" w:rsidRDefault="006F51D8" w:rsidP="00FB3FAC">
            <w:pPr>
              <w:autoSpaceDE w:val="0"/>
              <w:autoSpaceDN w:val="0"/>
              <w:adjustRightInd w:val="0"/>
              <w:spacing w:after="0" w:line="240" w:lineRule="auto"/>
              <w:jc w:val="both"/>
              <w:rPr>
                <w:rFonts w:ascii="Times New Roman" w:hAnsi="Times New Roman" w:cs="Times New Roman"/>
                <w:sz w:val="24"/>
                <w:szCs w:val="24"/>
                <w:lang w:val="en-ZA"/>
              </w:rPr>
            </w:pPr>
            <w:r w:rsidRPr="003D4632">
              <w:rPr>
                <w:rFonts w:ascii="Times New Roman" w:hAnsi="Times New Roman" w:cs="Times New Roman"/>
                <w:sz w:val="24"/>
                <w:szCs w:val="24"/>
                <w:lang w:val="en-ZA"/>
              </w:rPr>
              <w:t>Non</w:t>
            </w:r>
            <w:r w:rsidR="00BF52AE" w:rsidRPr="003D4632">
              <w:rPr>
                <w:rFonts w:ascii="Times New Roman" w:hAnsi="Times New Roman" w:cs="Times New Roman"/>
                <w:sz w:val="24"/>
                <w:szCs w:val="24"/>
                <w:lang w:val="en-ZA"/>
              </w:rPr>
              <w:t>-</w:t>
            </w:r>
            <w:r w:rsidRPr="003D4632">
              <w:rPr>
                <w:rFonts w:ascii="Times New Roman" w:hAnsi="Times New Roman" w:cs="Times New Roman"/>
                <w:sz w:val="24"/>
                <w:szCs w:val="24"/>
                <w:lang w:val="en-ZA"/>
              </w:rPr>
              <w:t>performing loan</w:t>
            </w:r>
            <w:r w:rsidR="00701A4B" w:rsidRPr="003D4632">
              <w:rPr>
                <w:rFonts w:ascii="Times New Roman" w:hAnsi="Times New Roman" w:cs="Times New Roman"/>
                <w:sz w:val="24"/>
                <w:szCs w:val="24"/>
                <w:lang w:val="en-ZA"/>
              </w:rPr>
              <w:t xml:space="preserve"> ratio</w:t>
            </w:r>
            <w:r w:rsidRPr="003D4632">
              <w:rPr>
                <w:rFonts w:ascii="Times New Roman" w:hAnsi="Times New Roman" w:cs="Times New Roman"/>
                <w:sz w:val="24"/>
                <w:szCs w:val="24"/>
                <w:lang w:val="en-ZA"/>
              </w:rPr>
              <w:t xml:space="preserve"> </w:t>
            </w:r>
          </w:p>
        </w:tc>
        <w:tc>
          <w:tcPr>
            <w:tcW w:w="3418" w:type="dxa"/>
            <w:tcBorders>
              <w:top w:val="single" w:sz="4" w:space="0" w:color="auto"/>
            </w:tcBorders>
          </w:tcPr>
          <w:p w14:paraId="5F7CB30B" w14:textId="5067C99D" w:rsidR="006F51D8" w:rsidRPr="003D4632" w:rsidRDefault="003C60FA" w:rsidP="00FB3FAC">
            <w:pPr>
              <w:autoSpaceDE w:val="0"/>
              <w:autoSpaceDN w:val="0"/>
              <w:adjustRightInd w:val="0"/>
              <w:spacing w:after="0" w:line="240" w:lineRule="auto"/>
              <w:jc w:val="both"/>
              <w:rPr>
                <w:rFonts w:ascii="Times New Roman" w:hAnsi="Times New Roman" w:cs="Times New Roman"/>
                <w:sz w:val="24"/>
                <w:szCs w:val="24"/>
                <w:lang w:val="en-ZA"/>
              </w:rPr>
            </w:pPr>
            <w:r w:rsidRPr="003D4632">
              <w:rPr>
                <w:rFonts w:ascii="Times New Roman" w:hAnsi="Times New Roman" w:cs="Times New Roman"/>
                <w:sz w:val="24"/>
                <w:szCs w:val="24"/>
              </w:rPr>
              <w:t>Measured as Non-Performing Loans/Total Loans and Advances</w:t>
            </w:r>
          </w:p>
        </w:tc>
        <w:tc>
          <w:tcPr>
            <w:tcW w:w="3260" w:type="dxa"/>
            <w:tcBorders>
              <w:top w:val="single" w:sz="4" w:space="0" w:color="auto"/>
            </w:tcBorders>
          </w:tcPr>
          <w:p w14:paraId="4DED9D17" w14:textId="1F04AA92" w:rsidR="006F51D8" w:rsidRPr="003D4632" w:rsidRDefault="00007028" w:rsidP="00FB3FAC">
            <w:pPr>
              <w:autoSpaceDE w:val="0"/>
              <w:autoSpaceDN w:val="0"/>
              <w:adjustRightInd w:val="0"/>
              <w:spacing w:after="0" w:line="240" w:lineRule="auto"/>
              <w:jc w:val="both"/>
              <w:rPr>
                <w:rFonts w:ascii="Times New Roman" w:eastAsia="Times New Roman" w:hAnsi="Times New Roman" w:cs="Times New Roman"/>
                <w:sz w:val="24"/>
                <w:szCs w:val="24"/>
              </w:rPr>
            </w:pPr>
            <w:r w:rsidRPr="003D4632">
              <w:rPr>
                <w:rFonts w:ascii="Times New Roman" w:hAnsi="Times New Roman" w:cs="Times New Roman"/>
                <w:sz w:val="24"/>
                <w:szCs w:val="24"/>
              </w:rPr>
              <w:t>El-Maude, et.al (2017)</w:t>
            </w:r>
          </w:p>
        </w:tc>
      </w:tr>
      <w:tr w:rsidR="006F51D8" w:rsidRPr="003D4632" w14:paraId="6B5E9055" w14:textId="77777777" w:rsidTr="00E232C4">
        <w:tc>
          <w:tcPr>
            <w:tcW w:w="2394" w:type="dxa"/>
          </w:tcPr>
          <w:p w14:paraId="193A426D" w14:textId="0CB75EB2" w:rsidR="006F51D8" w:rsidRPr="003D4632" w:rsidRDefault="006F51D8" w:rsidP="00FB3FAC">
            <w:pPr>
              <w:autoSpaceDE w:val="0"/>
              <w:autoSpaceDN w:val="0"/>
              <w:adjustRightInd w:val="0"/>
              <w:spacing w:after="0" w:line="240" w:lineRule="auto"/>
              <w:jc w:val="both"/>
              <w:rPr>
                <w:rFonts w:ascii="Times New Roman" w:hAnsi="Times New Roman" w:cs="Times New Roman"/>
                <w:sz w:val="24"/>
                <w:szCs w:val="24"/>
                <w:lang w:val="en-ZA"/>
              </w:rPr>
            </w:pPr>
            <w:r w:rsidRPr="003D4632">
              <w:rPr>
                <w:rFonts w:ascii="Times New Roman" w:hAnsi="Times New Roman" w:cs="Times New Roman"/>
                <w:sz w:val="24"/>
                <w:szCs w:val="24"/>
                <w:lang w:val="en-ZA"/>
              </w:rPr>
              <w:t xml:space="preserve">Bank size </w:t>
            </w:r>
          </w:p>
        </w:tc>
        <w:tc>
          <w:tcPr>
            <w:tcW w:w="3418" w:type="dxa"/>
          </w:tcPr>
          <w:p w14:paraId="6B131A00" w14:textId="1C615511" w:rsidR="006F51D8" w:rsidRPr="003D4632" w:rsidRDefault="00BC26CF" w:rsidP="00FB3FAC">
            <w:pPr>
              <w:autoSpaceDE w:val="0"/>
              <w:autoSpaceDN w:val="0"/>
              <w:adjustRightInd w:val="0"/>
              <w:spacing w:after="0" w:line="240" w:lineRule="auto"/>
              <w:jc w:val="both"/>
              <w:rPr>
                <w:rFonts w:ascii="Times New Roman" w:hAnsi="Times New Roman" w:cs="Times New Roman"/>
                <w:sz w:val="24"/>
                <w:szCs w:val="24"/>
                <w:lang w:val="en-ZA"/>
              </w:rPr>
            </w:pPr>
            <w:r w:rsidRPr="003D4632">
              <w:rPr>
                <w:rStyle w:val="markedcontent"/>
                <w:rFonts w:ascii="Times New Roman" w:hAnsi="Times New Roman" w:cs="Times New Roman"/>
                <w:sz w:val="24"/>
                <w:szCs w:val="24"/>
              </w:rPr>
              <w:t>Logarithm of total assets</w:t>
            </w:r>
          </w:p>
        </w:tc>
        <w:tc>
          <w:tcPr>
            <w:tcW w:w="3260" w:type="dxa"/>
          </w:tcPr>
          <w:p w14:paraId="56D95A00" w14:textId="5B5CF4AD" w:rsidR="006F51D8" w:rsidRPr="003D4632" w:rsidRDefault="00A54EFC" w:rsidP="00FB3FAC">
            <w:pPr>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3D4632">
              <w:rPr>
                <w:rStyle w:val="markedcontent"/>
                <w:rFonts w:ascii="Times New Roman" w:hAnsi="Times New Roman" w:cs="Times New Roman"/>
                <w:sz w:val="24"/>
                <w:szCs w:val="24"/>
              </w:rPr>
              <w:t>Odundo</w:t>
            </w:r>
            <w:proofErr w:type="spellEnd"/>
            <w:r w:rsidRPr="003D4632">
              <w:rPr>
                <w:rStyle w:val="markedcontent"/>
                <w:rFonts w:ascii="Times New Roman" w:hAnsi="Times New Roman" w:cs="Times New Roman"/>
                <w:sz w:val="24"/>
                <w:szCs w:val="24"/>
              </w:rPr>
              <w:t xml:space="preserve"> &amp; </w:t>
            </w:r>
            <w:proofErr w:type="spellStart"/>
            <w:r w:rsidRPr="003D4632">
              <w:rPr>
                <w:rStyle w:val="markedcontent"/>
                <w:rFonts w:ascii="Times New Roman" w:hAnsi="Times New Roman" w:cs="Times New Roman"/>
                <w:sz w:val="24"/>
                <w:szCs w:val="24"/>
              </w:rPr>
              <w:t>Orwaru</w:t>
            </w:r>
            <w:proofErr w:type="spellEnd"/>
            <w:r w:rsidRPr="003D4632">
              <w:rPr>
                <w:rStyle w:val="markedcontent"/>
                <w:rFonts w:ascii="Times New Roman" w:hAnsi="Times New Roman" w:cs="Times New Roman"/>
                <w:sz w:val="24"/>
                <w:szCs w:val="24"/>
              </w:rPr>
              <w:t>, (2018); Turk-</w:t>
            </w:r>
            <w:proofErr w:type="spellStart"/>
            <w:r w:rsidRPr="003D4632">
              <w:rPr>
                <w:rStyle w:val="markedcontent"/>
                <w:rFonts w:ascii="Times New Roman" w:hAnsi="Times New Roman" w:cs="Times New Roman"/>
                <w:sz w:val="24"/>
                <w:szCs w:val="24"/>
              </w:rPr>
              <w:t>Ariss</w:t>
            </w:r>
            <w:proofErr w:type="spellEnd"/>
            <w:r w:rsidRPr="003D4632">
              <w:rPr>
                <w:rStyle w:val="markedcontent"/>
                <w:rFonts w:ascii="Times New Roman" w:hAnsi="Times New Roman" w:cs="Times New Roman"/>
                <w:sz w:val="24"/>
                <w:szCs w:val="24"/>
              </w:rPr>
              <w:t xml:space="preserve"> (2010)</w:t>
            </w:r>
            <w:r w:rsidRPr="003D4632">
              <w:rPr>
                <w:rFonts w:ascii="Times New Roman" w:hAnsi="Times New Roman" w:cs="Times New Roman"/>
                <w:sz w:val="24"/>
                <w:szCs w:val="24"/>
              </w:rPr>
              <w:br/>
            </w:r>
            <w:r w:rsidRPr="003D4632">
              <w:rPr>
                <w:rStyle w:val="markedcontent"/>
                <w:rFonts w:ascii="Times New Roman" w:hAnsi="Times New Roman" w:cs="Times New Roman"/>
                <w:sz w:val="24"/>
                <w:szCs w:val="24"/>
              </w:rPr>
              <w:t xml:space="preserve">and </w:t>
            </w:r>
            <w:proofErr w:type="spellStart"/>
            <w:r w:rsidRPr="003D4632">
              <w:rPr>
                <w:rStyle w:val="markedcontent"/>
                <w:rFonts w:ascii="Times New Roman" w:hAnsi="Times New Roman" w:cs="Times New Roman"/>
                <w:sz w:val="24"/>
                <w:szCs w:val="24"/>
              </w:rPr>
              <w:t>Onuonga</w:t>
            </w:r>
            <w:proofErr w:type="spellEnd"/>
            <w:r w:rsidRPr="003D4632">
              <w:rPr>
                <w:rStyle w:val="markedcontent"/>
                <w:rFonts w:ascii="Times New Roman" w:hAnsi="Times New Roman" w:cs="Times New Roman"/>
                <w:sz w:val="24"/>
                <w:szCs w:val="24"/>
              </w:rPr>
              <w:t xml:space="preserve"> (2014),</w:t>
            </w:r>
          </w:p>
        </w:tc>
      </w:tr>
      <w:tr w:rsidR="006F51D8" w:rsidRPr="003D4632" w14:paraId="4B674825" w14:textId="77777777" w:rsidTr="00E232C4">
        <w:tc>
          <w:tcPr>
            <w:tcW w:w="2394" w:type="dxa"/>
            <w:tcBorders>
              <w:bottom w:val="single" w:sz="4" w:space="0" w:color="auto"/>
            </w:tcBorders>
          </w:tcPr>
          <w:p w14:paraId="25D40105" w14:textId="5981DB48" w:rsidR="006F51D8" w:rsidRPr="003D4632" w:rsidRDefault="0013080B" w:rsidP="00FB3FAC">
            <w:pPr>
              <w:autoSpaceDE w:val="0"/>
              <w:autoSpaceDN w:val="0"/>
              <w:adjustRightInd w:val="0"/>
              <w:spacing w:after="0" w:line="240" w:lineRule="auto"/>
              <w:jc w:val="both"/>
              <w:rPr>
                <w:rFonts w:ascii="Times New Roman" w:hAnsi="Times New Roman" w:cs="Times New Roman"/>
                <w:sz w:val="24"/>
                <w:szCs w:val="24"/>
                <w:lang w:val="en-ZA"/>
              </w:rPr>
            </w:pPr>
            <w:r w:rsidRPr="003D4632">
              <w:rPr>
                <w:rFonts w:ascii="Times New Roman" w:hAnsi="Times New Roman" w:cs="Times New Roman"/>
                <w:sz w:val="24"/>
                <w:szCs w:val="24"/>
                <w:lang w:val="en-ZA"/>
              </w:rPr>
              <w:t xml:space="preserve">Ownership concentration </w:t>
            </w:r>
          </w:p>
        </w:tc>
        <w:tc>
          <w:tcPr>
            <w:tcW w:w="3418" w:type="dxa"/>
            <w:tcBorders>
              <w:bottom w:val="single" w:sz="4" w:space="0" w:color="auto"/>
            </w:tcBorders>
          </w:tcPr>
          <w:p w14:paraId="5137E545" w14:textId="6ADF7232" w:rsidR="006F51D8" w:rsidRPr="003D4632" w:rsidRDefault="003C60FA" w:rsidP="00FB3FAC">
            <w:pPr>
              <w:autoSpaceDE w:val="0"/>
              <w:autoSpaceDN w:val="0"/>
              <w:adjustRightInd w:val="0"/>
              <w:spacing w:after="0" w:line="240" w:lineRule="auto"/>
              <w:jc w:val="both"/>
              <w:rPr>
                <w:rFonts w:ascii="Times New Roman" w:hAnsi="Times New Roman" w:cs="Times New Roman"/>
                <w:sz w:val="24"/>
                <w:szCs w:val="24"/>
                <w:lang w:val="en-ZA"/>
              </w:rPr>
            </w:pPr>
            <w:r w:rsidRPr="003D4632">
              <w:rPr>
                <w:rFonts w:ascii="Times New Roman" w:hAnsi="Times New Roman" w:cs="Times New Roman"/>
                <w:sz w:val="24"/>
                <w:szCs w:val="24"/>
              </w:rPr>
              <w:t xml:space="preserve">Describes the different levels of shareholding in a bank. That is, </w:t>
            </w:r>
            <w:r w:rsidR="00030712">
              <w:rPr>
                <w:rFonts w:ascii="Times New Roman" w:hAnsi="Times New Roman" w:cs="Times New Roman"/>
                <w:sz w:val="24"/>
                <w:szCs w:val="24"/>
              </w:rPr>
              <w:t xml:space="preserve">concentrated </w:t>
            </w:r>
            <w:r w:rsidR="00427616">
              <w:rPr>
                <w:rFonts w:ascii="Times New Roman" w:hAnsi="Times New Roman" w:cs="Times New Roman"/>
                <w:sz w:val="24"/>
                <w:szCs w:val="24"/>
              </w:rPr>
              <w:t xml:space="preserve">&amp; dispersed ownership, </w:t>
            </w:r>
            <w:r w:rsidRPr="003D4632">
              <w:rPr>
                <w:rFonts w:ascii="Times New Roman" w:hAnsi="Times New Roman" w:cs="Times New Roman"/>
                <w:sz w:val="24"/>
                <w:szCs w:val="24"/>
              </w:rPr>
              <w:t>be it foreign or local.</w:t>
            </w:r>
          </w:p>
        </w:tc>
        <w:tc>
          <w:tcPr>
            <w:tcW w:w="3260" w:type="dxa"/>
            <w:tcBorders>
              <w:bottom w:val="single" w:sz="4" w:space="0" w:color="auto"/>
            </w:tcBorders>
          </w:tcPr>
          <w:p w14:paraId="68637AB4" w14:textId="4C6E7E06" w:rsidR="006F51D8" w:rsidRPr="003D4632" w:rsidRDefault="00427616" w:rsidP="00FB3FAC">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Fawad</w:t>
            </w:r>
            <w:r w:rsidR="003C60FA" w:rsidRPr="003D4632">
              <w:rPr>
                <w:rFonts w:ascii="Times New Roman" w:hAnsi="Times New Roman" w:cs="Times New Roman"/>
                <w:sz w:val="24"/>
                <w:szCs w:val="24"/>
              </w:rPr>
              <w:t xml:space="preserve"> (201</w:t>
            </w:r>
            <w:r>
              <w:rPr>
                <w:rFonts w:ascii="Times New Roman" w:hAnsi="Times New Roman" w:cs="Times New Roman"/>
                <w:sz w:val="24"/>
                <w:szCs w:val="24"/>
              </w:rPr>
              <w:t>3</w:t>
            </w:r>
            <w:r w:rsidR="003C60FA" w:rsidRPr="003D4632">
              <w:rPr>
                <w:rFonts w:ascii="Times New Roman" w:hAnsi="Times New Roman" w:cs="Times New Roman"/>
                <w:sz w:val="24"/>
                <w:szCs w:val="24"/>
              </w:rPr>
              <w:t>)</w:t>
            </w:r>
          </w:p>
        </w:tc>
      </w:tr>
    </w:tbl>
    <w:p w14:paraId="70E84B78" w14:textId="77777777" w:rsidR="00E232C4" w:rsidRDefault="00E232C4" w:rsidP="00FB3FAC">
      <w:pPr>
        <w:spacing w:after="0" w:line="360" w:lineRule="auto"/>
        <w:jc w:val="both"/>
        <w:rPr>
          <w:rFonts w:ascii="Times New Roman" w:hAnsi="Times New Roman" w:cs="Times New Roman"/>
          <w:sz w:val="24"/>
          <w:szCs w:val="24"/>
        </w:rPr>
      </w:pPr>
    </w:p>
    <w:p w14:paraId="5914E619" w14:textId="55D53F40" w:rsidR="006F51D8" w:rsidRPr="003D4632" w:rsidRDefault="006F51D8"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sz w:val="24"/>
          <w:szCs w:val="24"/>
        </w:rPr>
        <w:t>However, panel regression is used for this study</w:t>
      </w:r>
      <w:r w:rsidR="00C559CC" w:rsidRPr="003D4632">
        <w:rPr>
          <w:rFonts w:ascii="Times New Roman" w:hAnsi="Times New Roman" w:cs="Times New Roman"/>
          <w:sz w:val="24"/>
          <w:szCs w:val="24"/>
        </w:rPr>
        <w:t xml:space="preserve"> which</w:t>
      </w:r>
      <w:r w:rsidRPr="003D4632">
        <w:rPr>
          <w:rFonts w:ascii="Times New Roman" w:hAnsi="Times New Roman" w:cs="Times New Roman"/>
          <w:sz w:val="24"/>
          <w:szCs w:val="24"/>
        </w:rPr>
        <w:t xml:space="preserve"> give</w:t>
      </w:r>
      <w:r w:rsidR="00C559CC" w:rsidRPr="003D4632">
        <w:rPr>
          <w:rFonts w:ascii="Times New Roman" w:hAnsi="Times New Roman" w:cs="Times New Roman"/>
          <w:sz w:val="24"/>
          <w:szCs w:val="24"/>
        </w:rPr>
        <w:t>s</w:t>
      </w:r>
      <w:r w:rsidRPr="003D4632">
        <w:rPr>
          <w:rFonts w:ascii="Times New Roman" w:hAnsi="Times New Roman" w:cs="Times New Roman"/>
          <w:sz w:val="24"/>
          <w:szCs w:val="24"/>
        </w:rPr>
        <w:t xml:space="preserve"> superiority over pure cross section or pure time series. Verbeek (2004) sets out the framework for panel study as:</w:t>
      </w:r>
    </w:p>
    <w:p w14:paraId="11CC4319" w14:textId="77777777" w:rsidR="006F51D8" w:rsidRPr="003D4632" w:rsidRDefault="006F51D8" w:rsidP="00FB3FAC">
      <w:pPr>
        <w:spacing w:after="0" w:line="360" w:lineRule="auto"/>
        <w:jc w:val="both"/>
        <w:rPr>
          <w:rFonts w:ascii="Times New Roman" w:hAnsi="Times New Roman" w:cs="Times New Roman"/>
          <w:sz w:val="24"/>
          <w:szCs w:val="24"/>
          <w:vertAlign w:val="subscript"/>
        </w:rPr>
      </w:pPr>
      <w:r w:rsidRPr="003D4632">
        <w:rPr>
          <w:rFonts w:ascii="Cambria Math" w:hAnsi="Cambria Math" w:cs="Cambria Math"/>
          <w:sz w:val="24"/>
          <w:szCs w:val="24"/>
        </w:rPr>
        <w:t>𝑦</w:t>
      </w:r>
      <w:r w:rsidRPr="003D4632">
        <w:rPr>
          <w:rFonts w:ascii="Times New Roman" w:hAnsi="Times New Roman" w:cs="Times New Roman"/>
          <w:sz w:val="24"/>
          <w:szCs w:val="24"/>
          <w:vertAlign w:val="subscript"/>
        </w:rPr>
        <w:t>it</w:t>
      </w:r>
      <w:r w:rsidRPr="003D4632">
        <w:rPr>
          <w:rFonts w:ascii="Times New Roman" w:hAnsi="Times New Roman" w:cs="Times New Roman"/>
          <w:sz w:val="24"/>
          <w:szCs w:val="24"/>
        </w:rPr>
        <w:t xml:space="preserve"> = </w:t>
      </w:r>
      <w:r w:rsidRPr="003D4632">
        <w:rPr>
          <w:rFonts w:ascii="Cambria Math" w:hAnsi="Cambria Math" w:cs="Cambria Math"/>
          <w:sz w:val="24"/>
          <w:szCs w:val="24"/>
        </w:rPr>
        <w:t>𝛼</w:t>
      </w:r>
      <w:r w:rsidRPr="003D4632">
        <w:rPr>
          <w:rFonts w:ascii="Times New Roman" w:hAnsi="Times New Roman" w:cs="Times New Roman"/>
          <w:sz w:val="24"/>
          <w:szCs w:val="24"/>
        </w:rPr>
        <w:t xml:space="preserve"> + </w:t>
      </w:r>
      <w:r w:rsidRPr="003D4632">
        <w:rPr>
          <w:rFonts w:ascii="Cambria Math" w:hAnsi="Cambria Math" w:cs="Cambria Math"/>
          <w:sz w:val="24"/>
          <w:szCs w:val="24"/>
        </w:rPr>
        <w:t>𝑥</w:t>
      </w:r>
      <w:r w:rsidRPr="003D4632">
        <w:rPr>
          <w:rFonts w:ascii="Times New Roman" w:hAnsi="Times New Roman" w:cs="Times New Roman"/>
          <w:sz w:val="24"/>
          <w:szCs w:val="24"/>
          <w:vertAlign w:val="subscript"/>
        </w:rPr>
        <w:t xml:space="preserve"> it</w:t>
      </w:r>
      <w:r w:rsidRPr="003D4632">
        <w:rPr>
          <w:rFonts w:ascii="Cambria Math" w:hAnsi="Cambria Math" w:cs="Cambria Math"/>
          <w:sz w:val="24"/>
          <w:szCs w:val="24"/>
        </w:rPr>
        <w:t>𝛽</w:t>
      </w:r>
      <w:r w:rsidRPr="003D4632">
        <w:rPr>
          <w:rFonts w:ascii="Times New Roman" w:hAnsi="Times New Roman" w:cs="Times New Roman"/>
          <w:sz w:val="24"/>
          <w:szCs w:val="24"/>
          <w:vertAlign w:val="subscript"/>
        </w:rPr>
        <w:t>it</w:t>
      </w:r>
      <w:r w:rsidRPr="003D4632">
        <w:rPr>
          <w:rFonts w:ascii="Times New Roman" w:hAnsi="Times New Roman" w:cs="Times New Roman"/>
          <w:sz w:val="24"/>
          <w:szCs w:val="24"/>
        </w:rPr>
        <w:t xml:space="preserve"> + </w:t>
      </w:r>
      <w:r w:rsidRPr="003D4632">
        <w:rPr>
          <w:rFonts w:ascii="Cambria Math" w:hAnsi="Cambria Math" w:cs="Cambria Math"/>
          <w:sz w:val="24"/>
          <w:szCs w:val="24"/>
        </w:rPr>
        <w:t>𝜀</w:t>
      </w:r>
      <w:r w:rsidRPr="003D4632">
        <w:rPr>
          <w:rFonts w:ascii="Times New Roman" w:hAnsi="Times New Roman" w:cs="Times New Roman"/>
          <w:sz w:val="24"/>
          <w:szCs w:val="24"/>
          <w:vertAlign w:val="subscript"/>
        </w:rPr>
        <w:t xml:space="preserve"> it…………………………………………………………………………………………………………</w:t>
      </w:r>
      <w:proofErr w:type="gramStart"/>
      <w:r w:rsidRPr="003D4632">
        <w:rPr>
          <w:rFonts w:ascii="Times New Roman" w:hAnsi="Times New Roman" w:cs="Times New Roman"/>
          <w:sz w:val="24"/>
          <w:szCs w:val="24"/>
          <w:vertAlign w:val="subscript"/>
        </w:rPr>
        <w:t>…..</w:t>
      </w:r>
      <w:proofErr w:type="gramEnd"/>
      <w:r w:rsidRPr="003D4632">
        <w:rPr>
          <w:rFonts w:ascii="Times New Roman" w:hAnsi="Times New Roman" w:cs="Times New Roman"/>
          <w:sz w:val="24"/>
          <w:szCs w:val="24"/>
          <w:vertAlign w:val="subscript"/>
        </w:rPr>
        <w:t>1</w:t>
      </w:r>
    </w:p>
    <w:p w14:paraId="6436CCC7" w14:textId="77777777" w:rsidR="006F51D8" w:rsidRPr="003D4632" w:rsidRDefault="006F51D8"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sz w:val="24"/>
          <w:szCs w:val="24"/>
        </w:rPr>
        <w:t xml:space="preserve">The model is stated below: </w:t>
      </w:r>
    </w:p>
    <w:p w14:paraId="255ADF10" w14:textId="6FD4440F" w:rsidR="006F51D8" w:rsidRPr="003D4632" w:rsidRDefault="0013080B" w:rsidP="00FB3FAC">
      <w:pPr>
        <w:spacing w:after="0" w:line="360" w:lineRule="auto"/>
        <w:jc w:val="both"/>
        <w:rPr>
          <w:rFonts w:ascii="Times New Roman" w:eastAsia="Times New Roman" w:hAnsi="Times New Roman" w:cs="Times New Roman"/>
          <w:sz w:val="24"/>
          <w:szCs w:val="24"/>
        </w:rPr>
      </w:pPr>
      <w:proofErr w:type="spellStart"/>
      <w:r w:rsidRPr="003D4632">
        <w:rPr>
          <w:rFonts w:ascii="Times New Roman" w:eastAsia="Times New Roman" w:hAnsi="Times New Roman" w:cs="Times New Roman"/>
          <w:sz w:val="24"/>
          <w:szCs w:val="24"/>
        </w:rPr>
        <w:t>NPL</w:t>
      </w:r>
      <w:r w:rsidR="006F51D8" w:rsidRPr="003D4632">
        <w:rPr>
          <w:rFonts w:ascii="Times New Roman" w:eastAsia="Times New Roman" w:hAnsi="Times New Roman" w:cs="Times New Roman"/>
          <w:sz w:val="24"/>
          <w:szCs w:val="24"/>
          <w:vertAlign w:val="subscript"/>
        </w:rPr>
        <w:t>it</w:t>
      </w:r>
      <w:proofErr w:type="spellEnd"/>
      <w:r w:rsidR="006F51D8" w:rsidRPr="003D4632">
        <w:rPr>
          <w:rFonts w:ascii="Times New Roman" w:eastAsia="Times New Roman" w:hAnsi="Times New Roman" w:cs="Times New Roman"/>
          <w:sz w:val="24"/>
          <w:szCs w:val="24"/>
        </w:rPr>
        <w:t xml:space="preserve"> = a+β</w:t>
      </w:r>
      <w:proofErr w:type="spellStart"/>
      <w:r w:rsidRPr="003D4632">
        <w:rPr>
          <w:rFonts w:ascii="Times New Roman" w:eastAsia="Times New Roman" w:hAnsi="Times New Roman" w:cs="Times New Roman"/>
          <w:sz w:val="24"/>
          <w:szCs w:val="24"/>
        </w:rPr>
        <w:t>ONS</w:t>
      </w:r>
      <w:r w:rsidR="006F51D8" w:rsidRPr="003D4632">
        <w:rPr>
          <w:rFonts w:ascii="Times New Roman" w:eastAsia="Times New Roman" w:hAnsi="Times New Roman" w:cs="Times New Roman"/>
          <w:sz w:val="24"/>
          <w:szCs w:val="24"/>
          <w:vertAlign w:val="subscript"/>
        </w:rPr>
        <w:t>it</w:t>
      </w:r>
      <w:proofErr w:type="spellEnd"/>
      <w:r w:rsidR="006F51D8" w:rsidRPr="003D4632">
        <w:rPr>
          <w:rFonts w:ascii="Times New Roman" w:eastAsia="Times New Roman" w:hAnsi="Times New Roman" w:cs="Times New Roman"/>
          <w:sz w:val="24"/>
          <w:szCs w:val="24"/>
        </w:rPr>
        <w:t>+β</w:t>
      </w:r>
      <w:proofErr w:type="spellStart"/>
      <w:r w:rsidRPr="003D4632">
        <w:rPr>
          <w:rFonts w:ascii="Times New Roman" w:eastAsia="Times New Roman" w:hAnsi="Times New Roman" w:cs="Times New Roman"/>
          <w:sz w:val="24"/>
          <w:szCs w:val="24"/>
        </w:rPr>
        <w:t>BS</w:t>
      </w:r>
      <w:r w:rsidR="006F51D8" w:rsidRPr="003D4632">
        <w:rPr>
          <w:rFonts w:ascii="Times New Roman" w:eastAsia="Times New Roman" w:hAnsi="Times New Roman" w:cs="Times New Roman"/>
          <w:sz w:val="24"/>
          <w:szCs w:val="24"/>
          <w:vertAlign w:val="subscript"/>
        </w:rPr>
        <w:t>it</w:t>
      </w:r>
      <w:proofErr w:type="spellEnd"/>
      <w:r w:rsidR="006F51D8" w:rsidRPr="003D4632">
        <w:rPr>
          <w:rFonts w:ascii="Times New Roman" w:eastAsia="Times New Roman" w:hAnsi="Times New Roman" w:cs="Times New Roman"/>
          <w:sz w:val="24"/>
          <w:szCs w:val="24"/>
        </w:rPr>
        <w:t>+π</w:t>
      </w:r>
      <w:r w:rsidR="006F51D8" w:rsidRPr="003D4632">
        <w:rPr>
          <w:rFonts w:ascii="Times New Roman" w:eastAsia="Times New Roman" w:hAnsi="Times New Roman" w:cs="Times New Roman"/>
          <w:sz w:val="24"/>
          <w:szCs w:val="24"/>
          <w:vertAlign w:val="subscript"/>
        </w:rPr>
        <w:t>it</w:t>
      </w:r>
      <w:r w:rsidR="006F51D8" w:rsidRPr="003D4632">
        <w:rPr>
          <w:rFonts w:ascii="Times New Roman" w:eastAsia="Times New Roman" w:hAnsi="Times New Roman" w:cs="Times New Roman"/>
          <w:sz w:val="24"/>
          <w:szCs w:val="24"/>
        </w:rPr>
        <w:t xml:space="preserve"> ……………………………….2</w:t>
      </w:r>
    </w:p>
    <w:p w14:paraId="2A2C2A74" w14:textId="25E5ADBD" w:rsidR="006F51D8" w:rsidRPr="003D4632" w:rsidRDefault="006F51D8" w:rsidP="00FB3FAC">
      <w:pPr>
        <w:pStyle w:val="Heading1"/>
        <w:shd w:val="clear" w:color="auto" w:fill="FFFFFF"/>
        <w:spacing w:before="0" w:beforeAutospacing="0" w:after="0" w:afterAutospacing="0" w:line="360" w:lineRule="auto"/>
        <w:rPr>
          <w:b w:val="0"/>
          <w:sz w:val="24"/>
          <w:szCs w:val="24"/>
        </w:rPr>
      </w:pPr>
      <w:r w:rsidRPr="003D4632">
        <w:rPr>
          <w:b w:val="0"/>
          <w:sz w:val="24"/>
          <w:szCs w:val="24"/>
        </w:rPr>
        <w:t xml:space="preserve">Where </w:t>
      </w:r>
      <w:r w:rsidR="0013080B" w:rsidRPr="003D4632">
        <w:rPr>
          <w:b w:val="0"/>
          <w:sz w:val="24"/>
          <w:szCs w:val="24"/>
          <w:lang w:val="en-US"/>
        </w:rPr>
        <w:t>NPL</w:t>
      </w:r>
      <w:r w:rsidRPr="003D4632">
        <w:rPr>
          <w:b w:val="0"/>
          <w:sz w:val="24"/>
          <w:szCs w:val="24"/>
        </w:rPr>
        <w:t xml:space="preserve"> = </w:t>
      </w:r>
      <w:r w:rsidR="0013080B" w:rsidRPr="003D4632">
        <w:rPr>
          <w:b w:val="0"/>
          <w:sz w:val="24"/>
          <w:szCs w:val="24"/>
          <w:lang w:val="en-US"/>
        </w:rPr>
        <w:t xml:space="preserve"> </w:t>
      </w:r>
      <w:r w:rsidR="00F50E76" w:rsidRPr="003D4632">
        <w:rPr>
          <w:b w:val="0"/>
          <w:sz w:val="24"/>
          <w:szCs w:val="24"/>
          <w:lang w:val="en-US"/>
        </w:rPr>
        <w:t>non-performing</w:t>
      </w:r>
      <w:r w:rsidR="0013080B" w:rsidRPr="003D4632">
        <w:rPr>
          <w:b w:val="0"/>
          <w:sz w:val="24"/>
          <w:szCs w:val="24"/>
          <w:lang w:val="en-US"/>
        </w:rPr>
        <w:t xml:space="preserve"> loan</w:t>
      </w:r>
      <w:r w:rsidR="00701A4B" w:rsidRPr="003D4632">
        <w:rPr>
          <w:b w:val="0"/>
          <w:sz w:val="24"/>
          <w:szCs w:val="24"/>
          <w:lang w:val="en-US"/>
        </w:rPr>
        <w:t xml:space="preserve"> ratio</w:t>
      </w:r>
      <w:r w:rsidR="0013080B" w:rsidRPr="003D4632">
        <w:rPr>
          <w:b w:val="0"/>
          <w:sz w:val="24"/>
          <w:szCs w:val="24"/>
          <w:lang w:val="en-US"/>
        </w:rPr>
        <w:t xml:space="preserve"> </w:t>
      </w:r>
      <w:r w:rsidRPr="003D4632">
        <w:rPr>
          <w:b w:val="0"/>
          <w:sz w:val="24"/>
          <w:szCs w:val="24"/>
        </w:rPr>
        <w:t xml:space="preserve">of the </w:t>
      </w:r>
      <w:proofErr w:type="spellStart"/>
      <w:r w:rsidRPr="003D4632">
        <w:rPr>
          <w:b w:val="0"/>
          <w:sz w:val="24"/>
          <w:szCs w:val="24"/>
        </w:rPr>
        <w:t>i</w:t>
      </w:r>
      <w:proofErr w:type="spellEnd"/>
      <w:r w:rsidRPr="003D4632">
        <w:rPr>
          <w:b w:val="0"/>
          <w:sz w:val="24"/>
          <w:szCs w:val="24"/>
        </w:rPr>
        <w:t xml:space="preserve"> at </w:t>
      </w:r>
      <w:r w:rsidR="003C2196">
        <w:rPr>
          <w:b w:val="0"/>
          <w:sz w:val="24"/>
          <w:szCs w:val="24"/>
        </w:rPr>
        <w:t xml:space="preserve">the </w:t>
      </w:r>
      <w:r w:rsidRPr="003D4632">
        <w:rPr>
          <w:b w:val="0"/>
          <w:sz w:val="24"/>
          <w:szCs w:val="24"/>
        </w:rPr>
        <w:t xml:space="preserve">time it </w:t>
      </w:r>
    </w:p>
    <w:p w14:paraId="7B655C1C" w14:textId="56312B7B" w:rsidR="006F51D8" w:rsidRPr="003D4632" w:rsidRDefault="00ED78DF" w:rsidP="00FB3FAC">
      <w:pPr>
        <w:pStyle w:val="Heading1"/>
        <w:shd w:val="clear" w:color="auto" w:fill="FFFFFF"/>
        <w:spacing w:before="0" w:beforeAutospacing="0" w:after="0" w:afterAutospacing="0" w:line="360" w:lineRule="auto"/>
        <w:rPr>
          <w:b w:val="0"/>
          <w:sz w:val="24"/>
          <w:szCs w:val="24"/>
        </w:rPr>
      </w:pPr>
      <w:r w:rsidRPr="003D4632">
        <w:rPr>
          <w:b w:val="0"/>
          <w:sz w:val="24"/>
          <w:szCs w:val="24"/>
          <w:lang w:val="en-US"/>
        </w:rPr>
        <w:t>O</w:t>
      </w:r>
      <w:r w:rsidR="00F50E76" w:rsidRPr="003D4632">
        <w:rPr>
          <w:b w:val="0"/>
          <w:sz w:val="24"/>
          <w:szCs w:val="24"/>
          <w:lang w:val="en-US"/>
        </w:rPr>
        <w:t>W</w:t>
      </w:r>
      <w:r w:rsidR="007A164D">
        <w:rPr>
          <w:b w:val="0"/>
          <w:sz w:val="24"/>
          <w:szCs w:val="24"/>
        </w:rPr>
        <w:t>C</w:t>
      </w:r>
      <w:r w:rsidR="006F51D8" w:rsidRPr="003D4632">
        <w:rPr>
          <w:sz w:val="24"/>
          <w:szCs w:val="24"/>
          <w:vertAlign w:val="subscript"/>
        </w:rPr>
        <w:t>it</w:t>
      </w:r>
      <w:r w:rsidR="00F50E76" w:rsidRPr="003D4632">
        <w:rPr>
          <w:b w:val="0"/>
          <w:sz w:val="24"/>
          <w:szCs w:val="24"/>
        </w:rPr>
        <w:t xml:space="preserve">= </w:t>
      </w:r>
      <w:r w:rsidR="00F50E76" w:rsidRPr="003D4632">
        <w:rPr>
          <w:b w:val="0"/>
          <w:sz w:val="24"/>
          <w:szCs w:val="24"/>
          <w:lang w:val="en-US"/>
        </w:rPr>
        <w:t>Ownership</w:t>
      </w:r>
      <w:r w:rsidRPr="003D4632">
        <w:rPr>
          <w:b w:val="0"/>
          <w:sz w:val="24"/>
          <w:szCs w:val="24"/>
          <w:lang w:val="en-US"/>
        </w:rPr>
        <w:t xml:space="preserve"> concentration </w:t>
      </w:r>
      <w:r w:rsidR="006F51D8" w:rsidRPr="003D4632">
        <w:rPr>
          <w:b w:val="0"/>
          <w:sz w:val="24"/>
          <w:szCs w:val="24"/>
        </w:rPr>
        <w:t xml:space="preserve">of </w:t>
      </w:r>
      <w:r w:rsidR="00D4107C">
        <w:rPr>
          <w:b w:val="0"/>
          <w:sz w:val="24"/>
          <w:szCs w:val="24"/>
        </w:rPr>
        <w:t>bank</w:t>
      </w:r>
      <w:r w:rsidR="006F51D8" w:rsidRPr="003D4632">
        <w:rPr>
          <w:b w:val="0"/>
          <w:sz w:val="24"/>
          <w:szCs w:val="24"/>
        </w:rPr>
        <w:t xml:space="preserve"> </w:t>
      </w:r>
      <w:proofErr w:type="spellStart"/>
      <w:r w:rsidR="006F51D8" w:rsidRPr="003D4632">
        <w:rPr>
          <w:b w:val="0"/>
          <w:sz w:val="24"/>
          <w:szCs w:val="24"/>
        </w:rPr>
        <w:t>i</w:t>
      </w:r>
      <w:proofErr w:type="spellEnd"/>
      <w:r w:rsidR="006F51D8" w:rsidRPr="003D4632">
        <w:rPr>
          <w:b w:val="0"/>
          <w:sz w:val="24"/>
          <w:szCs w:val="24"/>
        </w:rPr>
        <w:t xml:space="preserve"> at </w:t>
      </w:r>
      <w:r w:rsidR="003C2196">
        <w:rPr>
          <w:b w:val="0"/>
          <w:sz w:val="24"/>
          <w:szCs w:val="24"/>
        </w:rPr>
        <w:t xml:space="preserve">the </w:t>
      </w:r>
      <w:r w:rsidR="006F51D8" w:rsidRPr="003D4632">
        <w:rPr>
          <w:b w:val="0"/>
          <w:sz w:val="24"/>
          <w:szCs w:val="24"/>
        </w:rPr>
        <w:t>time it</w:t>
      </w:r>
    </w:p>
    <w:p w14:paraId="7A8B924F" w14:textId="6B3ADCDD" w:rsidR="006F51D8" w:rsidRPr="003D4632" w:rsidRDefault="00ED78DF" w:rsidP="00FB3FAC">
      <w:pPr>
        <w:pStyle w:val="Heading1"/>
        <w:shd w:val="clear" w:color="auto" w:fill="FFFFFF"/>
        <w:spacing w:before="0" w:beforeAutospacing="0" w:after="0" w:afterAutospacing="0" w:line="360" w:lineRule="auto"/>
        <w:rPr>
          <w:b w:val="0"/>
          <w:sz w:val="24"/>
          <w:szCs w:val="24"/>
        </w:rPr>
      </w:pPr>
      <w:r w:rsidRPr="003D4632">
        <w:rPr>
          <w:b w:val="0"/>
          <w:sz w:val="24"/>
          <w:szCs w:val="24"/>
          <w:lang w:val="en-US"/>
        </w:rPr>
        <w:t>BS</w:t>
      </w:r>
      <w:r w:rsidR="006F51D8" w:rsidRPr="003D4632">
        <w:rPr>
          <w:sz w:val="24"/>
          <w:szCs w:val="24"/>
          <w:vertAlign w:val="subscript"/>
        </w:rPr>
        <w:t>it</w:t>
      </w:r>
      <w:r w:rsidR="006F51D8" w:rsidRPr="003D4632">
        <w:rPr>
          <w:b w:val="0"/>
          <w:sz w:val="24"/>
          <w:szCs w:val="24"/>
        </w:rPr>
        <w:t xml:space="preserve">= </w:t>
      </w:r>
      <w:r w:rsidRPr="003D4632">
        <w:rPr>
          <w:b w:val="0"/>
          <w:sz w:val="24"/>
          <w:szCs w:val="24"/>
          <w:lang w:val="en-US"/>
        </w:rPr>
        <w:t xml:space="preserve">bank size </w:t>
      </w:r>
      <w:r w:rsidR="006F51D8" w:rsidRPr="003D4632">
        <w:rPr>
          <w:b w:val="0"/>
          <w:sz w:val="24"/>
          <w:szCs w:val="24"/>
        </w:rPr>
        <w:t xml:space="preserve">of </w:t>
      </w:r>
      <w:r w:rsidR="000622F7">
        <w:rPr>
          <w:b w:val="0"/>
          <w:sz w:val="24"/>
          <w:szCs w:val="24"/>
        </w:rPr>
        <w:t xml:space="preserve">bank </w:t>
      </w:r>
      <w:proofErr w:type="spellStart"/>
      <w:r w:rsidR="000622F7" w:rsidRPr="003D4632">
        <w:rPr>
          <w:b w:val="0"/>
          <w:sz w:val="24"/>
          <w:szCs w:val="24"/>
        </w:rPr>
        <w:t>i</w:t>
      </w:r>
      <w:proofErr w:type="spellEnd"/>
      <w:r w:rsidR="006F51D8" w:rsidRPr="003D4632">
        <w:rPr>
          <w:b w:val="0"/>
          <w:sz w:val="24"/>
          <w:szCs w:val="24"/>
        </w:rPr>
        <w:t xml:space="preserve"> at </w:t>
      </w:r>
      <w:r w:rsidR="003C2196">
        <w:rPr>
          <w:b w:val="0"/>
          <w:sz w:val="24"/>
          <w:szCs w:val="24"/>
        </w:rPr>
        <w:t xml:space="preserve">the </w:t>
      </w:r>
      <w:r w:rsidR="006F51D8" w:rsidRPr="003D4632">
        <w:rPr>
          <w:b w:val="0"/>
          <w:sz w:val="24"/>
          <w:szCs w:val="24"/>
        </w:rPr>
        <w:t>time it</w:t>
      </w:r>
    </w:p>
    <w:p w14:paraId="5778CF84" w14:textId="77777777" w:rsidR="006F51D8" w:rsidRPr="003D4632" w:rsidRDefault="006F51D8" w:rsidP="00FB3FAC">
      <w:pPr>
        <w:pStyle w:val="Heading1"/>
        <w:shd w:val="clear" w:color="auto" w:fill="FFFFFF"/>
        <w:spacing w:before="0" w:beforeAutospacing="0" w:after="0" w:afterAutospacing="0" w:line="360" w:lineRule="auto"/>
        <w:rPr>
          <w:b w:val="0"/>
          <w:sz w:val="24"/>
          <w:szCs w:val="24"/>
        </w:rPr>
      </w:pPr>
      <w:r w:rsidRPr="003D4632">
        <w:rPr>
          <w:b w:val="0"/>
          <w:sz w:val="24"/>
          <w:szCs w:val="24"/>
        </w:rPr>
        <w:t xml:space="preserve">β= coefficient </w:t>
      </w:r>
    </w:p>
    <w:p w14:paraId="50BDEDAB" w14:textId="77777777" w:rsidR="006F51D8" w:rsidRPr="003D4632" w:rsidRDefault="006F51D8" w:rsidP="00FB3FAC">
      <w:pPr>
        <w:pStyle w:val="Heading1"/>
        <w:shd w:val="clear" w:color="auto" w:fill="FFFFFF"/>
        <w:spacing w:before="0" w:beforeAutospacing="0" w:after="0" w:afterAutospacing="0" w:line="360" w:lineRule="auto"/>
        <w:rPr>
          <w:b w:val="0"/>
          <w:sz w:val="24"/>
          <w:szCs w:val="24"/>
        </w:rPr>
      </w:pPr>
      <w:r w:rsidRPr="003D4632">
        <w:rPr>
          <w:b w:val="0"/>
          <w:sz w:val="24"/>
          <w:szCs w:val="24"/>
        </w:rPr>
        <w:t xml:space="preserve">a= constant </w:t>
      </w:r>
    </w:p>
    <w:p w14:paraId="2153967C" w14:textId="77777777" w:rsidR="006F51D8" w:rsidRPr="003D4632" w:rsidRDefault="006F51D8" w:rsidP="00FB3FAC">
      <w:pPr>
        <w:pStyle w:val="Heading1"/>
        <w:shd w:val="clear" w:color="auto" w:fill="FFFFFF"/>
        <w:spacing w:before="0" w:beforeAutospacing="0" w:after="0" w:afterAutospacing="0" w:line="360" w:lineRule="auto"/>
        <w:rPr>
          <w:b w:val="0"/>
          <w:sz w:val="24"/>
          <w:szCs w:val="24"/>
        </w:rPr>
      </w:pPr>
      <w:r w:rsidRPr="003D4632">
        <w:rPr>
          <w:b w:val="0"/>
          <w:sz w:val="24"/>
          <w:szCs w:val="24"/>
        </w:rPr>
        <w:t xml:space="preserve">π= error terms </w:t>
      </w:r>
    </w:p>
    <w:p w14:paraId="6DEAFCBA" w14:textId="77777777" w:rsidR="0097729A" w:rsidRDefault="0097729A" w:rsidP="00FB3FAC">
      <w:pPr>
        <w:spacing w:after="0" w:line="360" w:lineRule="auto"/>
        <w:jc w:val="both"/>
        <w:rPr>
          <w:rFonts w:ascii="Times New Roman" w:hAnsi="Times New Roman" w:cs="Times New Roman"/>
          <w:b/>
          <w:bCs/>
          <w:sz w:val="24"/>
          <w:szCs w:val="24"/>
        </w:rPr>
      </w:pPr>
    </w:p>
    <w:p w14:paraId="1EC0D2F7" w14:textId="6E131A75" w:rsidR="006F51D8" w:rsidRPr="003D4632" w:rsidRDefault="006F51D8"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b/>
          <w:bCs/>
          <w:sz w:val="24"/>
          <w:szCs w:val="24"/>
        </w:rPr>
        <w:t xml:space="preserve">Hausman Test </w:t>
      </w:r>
    </w:p>
    <w:p w14:paraId="6669FEE2" w14:textId="1F0785FE" w:rsidR="006F51D8" w:rsidRPr="003D4632" w:rsidRDefault="006F51D8" w:rsidP="00FB3FAC">
      <w:pPr>
        <w:spacing w:after="0" w:line="360" w:lineRule="auto"/>
        <w:jc w:val="both"/>
        <w:rPr>
          <w:rFonts w:ascii="Times New Roman" w:eastAsia="Times New Roman" w:hAnsi="Times New Roman" w:cs="Times New Roman"/>
          <w:sz w:val="24"/>
          <w:szCs w:val="24"/>
        </w:rPr>
      </w:pPr>
      <w:r w:rsidRPr="003D4632">
        <w:rPr>
          <w:rFonts w:ascii="Times New Roman" w:eastAsia="Times New Roman" w:hAnsi="Times New Roman" w:cs="Times New Roman"/>
          <w:sz w:val="24"/>
          <w:szCs w:val="24"/>
        </w:rPr>
        <w:t xml:space="preserve">Hausman test is used to decide on </w:t>
      </w:r>
      <w:r w:rsidR="003C2196">
        <w:rPr>
          <w:rFonts w:ascii="Times New Roman" w:eastAsia="Times New Roman" w:hAnsi="Times New Roman" w:cs="Times New Roman"/>
          <w:sz w:val="24"/>
          <w:szCs w:val="24"/>
        </w:rPr>
        <w:t xml:space="preserve">the </w:t>
      </w:r>
      <w:r w:rsidRPr="003D4632">
        <w:rPr>
          <w:rFonts w:ascii="Times New Roman" w:eastAsia="Times New Roman" w:hAnsi="Times New Roman" w:cs="Times New Roman"/>
          <w:sz w:val="24"/>
          <w:szCs w:val="24"/>
        </w:rPr>
        <w:t>most appropriate model to be adopted either between fixed or random effects model. It is believed that the null hypothesis is the preferred model. Random Effect Model is the null hypothesis while the alternative is the fixed effects. It tests whether the unique errors (</w:t>
      </w:r>
      <w:proofErr w:type="spellStart"/>
      <w:r w:rsidRPr="003D4632">
        <w:rPr>
          <w:rFonts w:ascii="Times New Roman" w:eastAsia="Times New Roman" w:hAnsi="Times New Roman" w:cs="Times New Roman"/>
          <w:sz w:val="24"/>
          <w:szCs w:val="24"/>
        </w:rPr>
        <w:t>ui</w:t>
      </w:r>
      <w:proofErr w:type="spellEnd"/>
      <w:r w:rsidRPr="003D4632">
        <w:rPr>
          <w:rFonts w:ascii="Times New Roman" w:eastAsia="Times New Roman" w:hAnsi="Times New Roman" w:cs="Times New Roman"/>
          <w:sz w:val="24"/>
          <w:szCs w:val="24"/>
        </w:rPr>
        <w:t>) are correlated with the repressors; the null hypothesis is they are not. That is</w:t>
      </w:r>
    </w:p>
    <w:p w14:paraId="16F7CDE1" w14:textId="77777777" w:rsidR="006F51D8" w:rsidRPr="003D4632" w:rsidRDefault="006F51D8" w:rsidP="00FB3FAC">
      <w:pPr>
        <w:spacing w:after="0" w:line="360" w:lineRule="auto"/>
        <w:rPr>
          <w:rFonts w:ascii="Times New Roman" w:eastAsia="Times New Roman" w:hAnsi="Times New Roman" w:cs="Times New Roman"/>
          <w:sz w:val="24"/>
          <w:szCs w:val="24"/>
        </w:rPr>
      </w:pPr>
      <w:r w:rsidRPr="003D4632">
        <w:rPr>
          <w:rFonts w:ascii="Times New Roman" w:eastAsia="Times New Roman" w:hAnsi="Times New Roman" w:cs="Times New Roman"/>
          <w:sz w:val="24"/>
          <w:szCs w:val="24"/>
        </w:rPr>
        <w:t>Ho = Random Effect</w:t>
      </w:r>
    </w:p>
    <w:p w14:paraId="3BA1F35A" w14:textId="77777777" w:rsidR="006F51D8" w:rsidRPr="003D4632" w:rsidRDefault="006F51D8" w:rsidP="00FB3FAC">
      <w:pPr>
        <w:spacing w:after="0" w:line="360" w:lineRule="auto"/>
        <w:rPr>
          <w:rFonts w:ascii="Times New Roman" w:eastAsia="Times New Roman" w:hAnsi="Times New Roman" w:cs="Times New Roman"/>
          <w:sz w:val="24"/>
          <w:szCs w:val="24"/>
        </w:rPr>
      </w:pPr>
      <w:r w:rsidRPr="003D4632">
        <w:rPr>
          <w:rFonts w:ascii="Times New Roman" w:eastAsia="Times New Roman" w:hAnsi="Times New Roman" w:cs="Times New Roman"/>
          <w:sz w:val="24"/>
          <w:szCs w:val="24"/>
        </w:rPr>
        <w:t>HA = Fixed Effect</w:t>
      </w:r>
    </w:p>
    <w:p w14:paraId="4F018987" w14:textId="4F241018" w:rsidR="006F51D8" w:rsidRPr="003D4632" w:rsidRDefault="006F51D8" w:rsidP="00FB3FAC">
      <w:pPr>
        <w:spacing w:after="0" w:line="360" w:lineRule="auto"/>
        <w:jc w:val="both"/>
        <w:rPr>
          <w:rFonts w:ascii="Times New Roman" w:eastAsia="Times New Roman" w:hAnsi="Times New Roman" w:cs="Times New Roman"/>
          <w:sz w:val="24"/>
          <w:szCs w:val="24"/>
        </w:rPr>
      </w:pPr>
      <w:r w:rsidRPr="003D4632">
        <w:rPr>
          <w:rFonts w:ascii="Times New Roman" w:eastAsia="Times New Roman" w:hAnsi="Times New Roman" w:cs="Times New Roman"/>
          <w:sz w:val="24"/>
          <w:szCs w:val="24"/>
        </w:rPr>
        <w:t xml:space="preserve">Hausman test uses a statistical distribution </w:t>
      </w:r>
      <w:r w:rsidR="003C2196" w:rsidRPr="003D4632">
        <w:rPr>
          <w:rFonts w:ascii="Times New Roman" w:eastAsia="Times New Roman" w:hAnsi="Times New Roman" w:cs="Times New Roman"/>
          <w:sz w:val="24"/>
          <w:szCs w:val="24"/>
        </w:rPr>
        <w:t>chi</w:t>
      </w:r>
      <w:r w:rsidR="003C2196">
        <w:rPr>
          <w:rFonts w:ascii="Times New Roman" w:eastAsia="Times New Roman" w:hAnsi="Times New Roman" w:cs="Times New Roman"/>
          <w:sz w:val="24"/>
          <w:szCs w:val="24"/>
        </w:rPr>
        <w:t>-</w:t>
      </w:r>
      <w:r w:rsidRPr="003D4632">
        <w:rPr>
          <w:rFonts w:ascii="Times New Roman" w:eastAsia="Times New Roman" w:hAnsi="Times New Roman" w:cs="Times New Roman"/>
          <w:sz w:val="24"/>
          <w:szCs w:val="24"/>
        </w:rPr>
        <w:t xml:space="preserve">square with </w:t>
      </w:r>
      <w:r w:rsidR="003C2196">
        <w:rPr>
          <w:rFonts w:ascii="Times New Roman" w:eastAsia="Times New Roman" w:hAnsi="Times New Roman" w:cs="Times New Roman"/>
          <w:sz w:val="24"/>
          <w:szCs w:val="24"/>
        </w:rPr>
        <w:t xml:space="preserve">the </w:t>
      </w:r>
      <w:r w:rsidRPr="003D4632">
        <w:rPr>
          <w:rFonts w:ascii="Times New Roman" w:eastAsia="Times New Roman" w:hAnsi="Times New Roman" w:cs="Times New Roman"/>
          <w:sz w:val="24"/>
          <w:szCs w:val="24"/>
        </w:rPr>
        <w:t xml:space="preserve">degree of freedom as many as k where k is the number of independent variables. If there is a rejection of hypothesis zero where </w:t>
      </w:r>
      <w:r w:rsidRPr="003D4632">
        <w:rPr>
          <w:rFonts w:ascii="Times New Roman" w:eastAsia="Times New Roman" w:hAnsi="Times New Roman" w:cs="Times New Roman"/>
          <w:sz w:val="24"/>
          <w:szCs w:val="24"/>
        </w:rPr>
        <w:lastRenderedPageBreak/>
        <w:t xml:space="preserve">the value of statistics is greater than the critical value (the value of the table </w:t>
      </w:r>
      <w:r w:rsidR="003C2196" w:rsidRPr="003D4632">
        <w:rPr>
          <w:rFonts w:ascii="Times New Roman" w:eastAsia="Times New Roman" w:hAnsi="Times New Roman" w:cs="Times New Roman"/>
          <w:sz w:val="24"/>
          <w:szCs w:val="24"/>
        </w:rPr>
        <w:t>chi</w:t>
      </w:r>
      <w:r w:rsidR="003C2196">
        <w:rPr>
          <w:rFonts w:ascii="Times New Roman" w:eastAsia="Times New Roman" w:hAnsi="Times New Roman" w:cs="Times New Roman"/>
          <w:sz w:val="24"/>
          <w:szCs w:val="24"/>
        </w:rPr>
        <w:t>-</w:t>
      </w:r>
      <w:r w:rsidRPr="003D4632">
        <w:rPr>
          <w:rFonts w:ascii="Times New Roman" w:eastAsia="Times New Roman" w:hAnsi="Times New Roman" w:cs="Times New Roman"/>
          <w:sz w:val="24"/>
          <w:szCs w:val="24"/>
        </w:rPr>
        <w:t xml:space="preserve">square) then </w:t>
      </w:r>
      <w:r w:rsidR="003C2196">
        <w:rPr>
          <w:rFonts w:ascii="Times New Roman" w:eastAsia="Times New Roman" w:hAnsi="Times New Roman" w:cs="Times New Roman"/>
          <w:sz w:val="24"/>
          <w:szCs w:val="24"/>
        </w:rPr>
        <w:t xml:space="preserve">the </w:t>
      </w:r>
      <w:r w:rsidRPr="003D4632">
        <w:rPr>
          <w:rFonts w:ascii="Times New Roman" w:eastAsia="Times New Roman" w:hAnsi="Times New Roman" w:cs="Times New Roman"/>
          <w:sz w:val="24"/>
          <w:szCs w:val="24"/>
        </w:rPr>
        <w:t xml:space="preserve">model fixed effect is used and the reverse is the case where </w:t>
      </w:r>
      <w:r w:rsidR="003C2196">
        <w:rPr>
          <w:rFonts w:ascii="Times New Roman" w:eastAsia="Times New Roman" w:hAnsi="Times New Roman" w:cs="Times New Roman"/>
          <w:sz w:val="24"/>
          <w:szCs w:val="24"/>
        </w:rPr>
        <w:t xml:space="preserve">the </w:t>
      </w:r>
      <w:r w:rsidRPr="003D4632">
        <w:rPr>
          <w:rFonts w:ascii="Times New Roman" w:eastAsia="Times New Roman" w:hAnsi="Times New Roman" w:cs="Times New Roman"/>
          <w:sz w:val="24"/>
          <w:szCs w:val="24"/>
        </w:rPr>
        <w:t>calculated value is less than the critical or table value</w:t>
      </w:r>
    </w:p>
    <w:p w14:paraId="0905E4FA" w14:textId="37EAB24E" w:rsidR="006F51D8" w:rsidRDefault="006F51D8"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sz w:val="24"/>
          <w:szCs w:val="24"/>
        </w:rPr>
        <w:t xml:space="preserve">In this study, </w:t>
      </w:r>
      <w:r w:rsidR="003C2196">
        <w:rPr>
          <w:rFonts w:ascii="Times New Roman" w:hAnsi="Times New Roman" w:cs="Times New Roman"/>
          <w:sz w:val="24"/>
          <w:szCs w:val="24"/>
        </w:rPr>
        <w:t xml:space="preserve">the </w:t>
      </w:r>
      <w:r w:rsidRPr="003D4632">
        <w:rPr>
          <w:rFonts w:ascii="Times New Roman" w:hAnsi="Times New Roman" w:cs="Times New Roman"/>
          <w:sz w:val="24"/>
          <w:szCs w:val="24"/>
        </w:rPr>
        <w:t xml:space="preserve">Hausman test is used to test </w:t>
      </w:r>
      <w:r w:rsidR="003C2196">
        <w:rPr>
          <w:rFonts w:ascii="Times New Roman" w:hAnsi="Times New Roman" w:cs="Times New Roman"/>
          <w:sz w:val="24"/>
          <w:szCs w:val="24"/>
        </w:rPr>
        <w:t xml:space="preserve">the </w:t>
      </w:r>
      <w:r w:rsidRPr="003D4632">
        <w:rPr>
          <w:rFonts w:ascii="Times New Roman" w:hAnsi="Times New Roman" w:cs="Times New Roman"/>
          <w:sz w:val="24"/>
          <w:szCs w:val="24"/>
        </w:rPr>
        <w:t xml:space="preserve">fixed effects model and random effects model (REM). </w:t>
      </w:r>
    </w:p>
    <w:p w14:paraId="41C729FC" w14:textId="77777777" w:rsidR="0097729A" w:rsidRPr="003D4632" w:rsidRDefault="0097729A" w:rsidP="00FB3FAC">
      <w:pPr>
        <w:spacing w:after="0" w:line="360" w:lineRule="auto"/>
        <w:jc w:val="both"/>
        <w:rPr>
          <w:rFonts w:ascii="Times New Roman" w:hAnsi="Times New Roman" w:cs="Times New Roman"/>
          <w:sz w:val="24"/>
          <w:szCs w:val="24"/>
        </w:rPr>
      </w:pPr>
    </w:p>
    <w:p w14:paraId="422DF1A2" w14:textId="17530ABD" w:rsidR="006F51D8" w:rsidRPr="003D4632" w:rsidRDefault="00D70EB4" w:rsidP="00FB3FAC">
      <w:pPr>
        <w:spacing w:after="0" w:line="360" w:lineRule="auto"/>
        <w:jc w:val="both"/>
        <w:rPr>
          <w:rFonts w:ascii="Times New Roman" w:hAnsi="Times New Roman" w:cs="Times New Roman"/>
          <w:sz w:val="24"/>
          <w:szCs w:val="24"/>
        </w:rPr>
      </w:pPr>
      <w:r>
        <w:rPr>
          <w:rFonts w:ascii="Cambria Math" w:hAnsi="Cambria Math" w:cs="Cambria Math"/>
          <w:sz w:val="24"/>
          <w:szCs w:val="24"/>
        </w:rPr>
        <w:t>𝑯</w:t>
      </w:r>
      <w:r w:rsidRPr="00D70EB4">
        <w:rPr>
          <w:rFonts w:ascii="Cambria Math" w:hAnsi="Cambria Math" w:cs="Cambria Math"/>
          <w:sz w:val="24"/>
          <w:szCs w:val="24"/>
          <w:vertAlign w:val="subscript"/>
        </w:rPr>
        <w:t>0</w:t>
      </w:r>
      <w:r w:rsidR="0097729A">
        <w:rPr>
          <w:rFonts w:ascii="Times New Roman" w:hAnsi="Times New Roman" w:cs="Times New Roman"/>
          <w:b/>
          <w:bCs/>
          <w:sz w:val="24"/>
          <w:szCs w:val="24"/>
        </w:rPr>
        <w:t xml:space="preserve">: </w:t>
      </w:r>
      <w:r w:rsidR="006F51D8" w:rsidRPr="003D4632">
        <w:rPr>
          <w:rFonts w:ascii="Times New Roman" w:hAnsi="Times New Roman" w:cs="Times New Roman"/>
          <w:b/>
          <w:bCs/>
          <w:sz w:val="24"/>
          <w:szCs w:val="24"/>
        </w:rPr>
        <w:t xml:space="preserve">Random effects model is better than </w:t>
      </w:r>
      <w:r w:rsidR="003C2196">
        <w:rPr>
          <w:rFonts w:ascii="Times New Roman" w:hAnsi="Times New Roman" w:cs="Times New Roman"/>
          <w:b/>
          <w:bCs/>
          <w:sz w:val="24"/>
          <w:szCs w:val="24"/>
        </w:rPr>
        <w:t xml:space="preserve">the </w:t>
      </w:r>
      <w:r w:rsidR="006F51D8" w:rsidRPr="003D4632">
        <w:rPr>
          <w:rFonts w:ascii="Times New Roman" w:hAnsi="Times New Roman" w:cs="Times New Roman"/>
          <w:b/>
          <w:bCs/>
          <w:sz w:val="24"/>
          <w:szCs w:val="24"/>
        </w:rPr>
        <w:t xml:space="preserve">fixed effects model. </w:t>
      </w:r>
    </w:p>
    <w:p w14:paraId="779BB122" w14:textId="7F430B8F" w:rsidR="006F51D8" w:rsidRPr="003D4632" w:rsidRDefault="006F51D8" w:rsidP="00FB3FAC">
      <w:pPr>
        <w:spacing w:after="0" w:line="360" w:lineRule="auto"/>
        <w:jc w:val="both"/>
        <w:rPr>
          <w:rFonts w:ascii="Times New Roman" w:eastAsia="Times New Roman" w:hAnsi="Times New Roman" w:cs="Times New Roman"/>
          <w:sz w:val="24"/>
          <w:szCs w:val="24"/>
        </w:rPr>
      </w:pPr>
      <w:r w:rsidRPr="003D4632">
        <w:rPr>
          <w:rFonts w:ascii="Times New Roman" w:eastAsia="Times New Roman" w:hAnsi="Times New Roman" w:cs="Times New Roman"/>
          <w:sz w:val="24"/>
          <w:szCs w:val="24"/>
        </w:rPr>
        <w:t xml:space="preserve">Random effects assume that the entity’s error term is not correlated with the predictors which allows for time-invariant variables to play a role as explanatory variables. These characteristics that may or may not influence the predictor need to be specified. </w:t>
      </w:r>
    </w:p>
    <w:p w14:paraId="40D6062D" w14:textId="77777777" w:rsidR="006F51D8" w:rsidRPr="003D4632" w:rsidRDefault="006F51D8" w:rsidP="00FB3FAC">
      <w:pPr>
        <w:spacing w:after="0" w:line="360" w:lineRule="auto"/>
        <w:jc w:val="both"/>
        <w:rPr>
          <w:rFonts w:ascii="Times New Roman" w:hAnsi="Times New Roman" w:cs="Times New Roman"/>
          <w:b/>
          <w:sz w:val="24"/>
          <w:szCs w:val="24"/>
        </w:rPr>
      </w:pPr>
      <w:r w:rsidRPr="003D4632">
        <w:rPr>
          <w:rFonts w:ascii="Times New Roman" w:hAnsi="Times New Roman" w:cs="Times New Roman"/>
          <w:b/>
          <w:sz w:val="24"/>
          <w:szCs w:val="24"/>
        </w:rPr>
        <w:t xml:space="preserve">Decision Rules </w:t>
      </w:r>
    </w:p>
    <w:p w14:paraId="6DB7C390" w14:textId="1E2BE797" w:rsidR="006F51D8" w:rsidRPr="003D4632" w:rsidRDefault="006F51D8"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sz w:val="24"/>
          <w:szCs w:val="24"/>
        </w:rPr>
        <w:t xml:space="preserve">Decision Rule: Reject </w:t>
      </w:r>
      <w:r w:rsidRPr="003D4632">
        <w:rPr>
          <w:rFonts w:ascii="Cambria Math" w:hAnsi="Cambria Math" w:cs="Cambria Math"/>
          <w:sz w:val="24"/>
          <w:szCs w:val="24"/>
        </w:rPr>
        <w:t>𝐻</w:t>
      </w:r>
      <w:r w:rsidRPr="003D4632">
        <w:rPr>
          <w:rFonts w:ascii="Times New Roman" w:hAnsi="Times New Roman" w:cs="Times New Roman"/>
          <w:sz w:val="24"/>
          <w:szCs w:val="24"/>
        </w:rPr>
        <w:t xml:space="preserve">0 if </w:t>
      </w:r>
      <w:r w:rsidR="003C2196">
        <w:rPr>
          <w:rFonts w:ascii="Times New Roman" w:hAnsi="Times New Roman" w:cs="Times New Roman"/>
          <w:sz w:val="24"/>
          <w:szCs w:val="24"/>
        </w:rPr>
        <w:t xml:space="preserve">the </w:t>
      </w:r>
      <w:r w:rsidRPr="003D4632">
        <w:rPr>
          <w:rFonts w:ascii="Times New Roman" w:hAnsi="Times New Roman" w:cs="Times New Roman"/>
          <w:sz w:val="24"/>
          <w:szCs w:val="24"/>
        </w:rPr>
        <w:t xml:space="preserve">p-value is less than </w:t>
      </w:r>
      <w:r w:rsidR="003C2196">
        <w:rPr>
          <w:rFonts w:ascii="Times New Roman" w:hAnsi="Times New Roman" w:cs="Times New Roman"/>
          <w:sz w:val="24"/>
          <w:szCs w:val="24"/>
        </w:rPr>
        <w:t xml:space="preserve">the </w:t>
      </w:r>
      <w:r w:rsidRPr="003D4632">
        <w:rPr>
          <w:rFonts w:ascii="Times New Roman" w:hAnsi="Times New Roman" w:cs="Times New Roman"/>
          <w:sz w:val="24"/>
          <w:szCs w:val="24"/>
        </w:rPr>
        <w:t xml:space="preserve">significance level. Otherwise, do not reject </w:t>
      </w:r>
      <w:r w:rsidRPr="003D4632">
        <w:rPr>
          <w:rFonts w:ascii="Cambria Math" w:hAnsi="Cambria Math" w:cs="Cambria Math"/>
          <w:sz w:val="24"/>
          <w:szCs w:val="24"/>
        </w:rPr>
        <w:t>𝐻</w:t>
      </w:r>
      <w:r w:rsidRPr="003D4632">
        <w:rPr>
          <w:rFonts w:ascii="Times New Roman" w:hAnsi="Times New Roman" w:cs="Times New Roman"/>
          <w:sz w:val="24"/>
          <w:szCs w:val="24"/>
        </w:rPr>
        <w:t xml:space="preserve">0. </w:t>
      </w:r>
    </w:p>
    <w:p w14:paraId="3DD655A3" w14:textId="77777777" w:rsidR="006F51D8" w:rsidRPr="003D4632" w:rsidRDefault="006F51D8"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sz w:val="24"/>
          <w:szCs w:val="24"/>
        </w:rPr>
        <w:t xml:space="preserve">Decision: Reject </w:t>
      </w:r>
      <w:r w:rsidRPr="003D4632">
        <w:rPr>
          <w:rFonts w:ascii="Cambria Math" w:hAnsi="Cambria Math" w:cs="Cambria Math"/>
          <w:sz w:val="24"/>
          <w:szCs w:val="24"/>
        </w:rPr>
        <w:t>𝐻</w:t>
      </w:r>
      <w:r w:rsidRPr="003D4632">
        <w:rPr>
          <w:rFonts w:ascii="Times New Roman" w:hAnsi="Times New Roman" w:cs="Times New Roman"/>
          <w:sz w:val="24"/>
          <w:szCs w:val="24"/>
        </w:rPr>
        <w:t xml:space="preserve">0 since the p-value is less than the significance level of 5%. </w:t>
      </w:r>
    </w:p>
    <w:p w14:paraId="09798DD1" w14:textId="44758D10" w:rsidR="00426A71" w:rsidRDefault="00426A71" w:rsidP="00FB3FAC">
      <w:pPr>
        <w:pStyle w:val="Heading1"/>
        <w:shd w:val="clear" w:color="auto" w:fill="FFFFFF"/>
        <w:spacing w:before="0" w:beforeAutospacing="0" w:after="0" w:afterAutospacing="0"/>
        <w:rPr>
          <w:sz w:val="24"/>
          <w:szCs w:val="24"/>
        </w:rPr>
      </w:pPr>
    </w:p>
    <w:p w14:paraId="62A01E76" w14:textId="52580E39" w:rsidR="006F51D8" w:rsidRPr="003D4632" w:rsidRDefault="00FB3FAC" w:rsidP="00FB3FAC">
      <w:pPr>
        <w:pStyle w:val="Heading1"/>
        <w:shd w:val="clear" w:color="auto" w:fill="FFFFFF"/>
        <w:spacing w:before="0" w:beforeAutospacing="0" w:after="0" w:afterAutospacing="0"/>
        <w:rPr>
          <w:sz w:val="24"/>
          <w:szCs w:val="24"/>
        </w:rPr>
      </w:pPr>
      <w:r>
        <w:rPr>
          <w:sz w:val="24"/>
          <w:szCs w:val="24"/>
        </w:rPr>
        <w:t>P</w:t>
      </w:r>
      <w:r>
        <w:rPr>
          <w:sz w:val="24"/>
          <w:szCs w:val="24"/>
          <w:lang w:val="en-US"/>
        </w:rPr>
        <w:t xml:space="preserve">resentation </w:t>
      </w:r>
      <w:r w:rsidR="006F51D8" w:rsidRPr="003D4632">
        <w:rPr>
          <w:sz w:val="24"/>
          <w:szCs w:val="24"/>
        </w:rPr>
        <w:t>and Discussion</w:t>
      </w:r>
      <w:r>
        <w:rPr>
          <w:sz w:val="24"/>
          <w:szCs w:val="24"/>
          <w:lang w:val="en-US"/>
        </w:rPr>
        <w:t xml:space="preserve"> of Results</w:t>
      </w:r>
      <w:r w:rsidR="006F51D8" w:rsidRPr="003D4632">
        <w:rPr>
          <w:sz w:val="24"/>
          <w:szCs w:val="24"/>
        </w:rPr>
        <w:t xml:space="preserve">  </w:t>
      </w:r>
    </w:p>
    <w:p w14:paraId="7611B5C6" w14:textId="7ECBC396" w:rsidR="00FB3FAC" w:rsidRDefault="00FB3FAC" w:rsidP="00FB3FAC">
      <w:pPr>
        <w:pStyle w:val="Heading1"/>
        <w:shd w:val="clear" w:color="auto" w:fill="FFFFFF"/>
        <w:spacing w:before="0" w:beforeAutospacing="0" w:after="0" w:afterAutospacing="0"/>
        <w:rPr>
          <w:sz w:val="24"/>
          <w:szCs w:val="24"/>
        </w:rPr>
      </w:pPr>
    </w:p>
    <w:p w14:paraId="157BAF4D" w14:textId="5D2BD831" w:rsidR="008162F6" w:rsidRPr="00392315" w:rsidRDefault="00701A4B" w:rsidP="00FB3FAC">
      <w:pPr>
        <w:pStyle w:val="Heading1"/>
        <w:shd w:val="clear" w:color="auto" w:fill="FFFFFF"/>
        <w:spacing w:before="0" w:beforeAutospacing="0" w:after="0" w:afterAutospacing="0"/>
        <w:rPr>
          <w:sz w:val="24"/>
          <w:szCs w:val="24"/>
        </w:rPr>
      </w:pPr>
      <w:r>
        <w:rPr>
          <w:sz w:val="24"/>
          <w:szCs w:val="24"/>
        </w:rPr>
        <w:t xml:space="preserve">Table 1: Descriptive statistics of the Variables </w:t>
      </w:r>
    </w:p>
    <w:tbl>
      <w:tblPr>
        <w:tblStyle w:val="LightShading"/>
        <w:tblW w:w="9072" w:type="dxa"/>
        <w:tblLayout w:type="fixed"/>
        <w:tblLook w:val="0000" w:firstRow="0" w:lastRow="0" w:firstColumn="0" w:lastColumn="0" w:noHBand="0" w:noVBand="0"/>
      </w:tblPr>
      <w:tblGrid>
        <w:gridCol w:w="1890"/>
        <w:gridCol w:w="2788"/>
        <w:gridCol w:w="1985"/>
        <w:gridCol w:w="2409"/>
      </w:tblGrid>
      <w:tr w:rsidR="009378E5" w:rsidRPr="00B85385" w14:paraId="53A80B88" w14:textId="77777777" w:rsidTr="00426A71">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1890" w:type="dxa"/>
            <w:tcBorders>
              <w:bottom w:val="single" w:sz="4" w:space="0" w:color="auto"/>
            </w:tcBorders>
            <w:shd w:val="clear" w:color="auto" w:fill="auto"/>
            <w:vAlign w:val="bottom"/>
          </w:tcPr>
          <w:p w14:paraId="4500DE63" w14:textId="77777777" w:rsidR="009378E5" w:rsidRPr="00B85385" w:rsidRDefault="009378E5" w:rsidP="00FB3FAC">
            <w:pPr>
              <w:autoSpaceDE w:val="0"/>
              <w:autoSpaceDN w:val="0"/>
              <w:adjustRightInd w:val="0"/>
              <w:spacing w:line="276" w:lineRule="auto"/>
              <w:jc w:val="center"/>
              <w:rPr>
                <w:rFonts w:ascii="Times New Roman" w:hAnsi="Times New Roman" w:cs="Times New Roman"/>
                <w:b/>
                <w:color w:val="000000"/>
                <w:sz w:val="24"/>
                <w:szCs w:val="24"/>
              </w:rPr>
            </w:pPr>
          </w:p>
        </w:tc>
        <w:tc>
          <w:tcPr>
            <w:tcW w:w="2788" w:type="dxa"/>
            <w:tcBorders>
              <w:bottom w:val="single" w:sz="4" w:space="0" w:color="auto"/>
            </w:tcBorders>
            <w:shd w:val="clear" w:color="auto" w:fill="auto"/>
            <w:vAlign w:val="bottom"/>
          </w:tcPr>
          <w:p w14:paraId="4D604565" w14:textId="6091B129" w:rsidR="009378E5" w:rsidRPr="00D70EB4"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D70EB4">
              <w:rPr>
                <w:rFonts w:ascii="Times New Roman" w:hAnsi="Times New Roman" w:cs="Times New Roman"/>
                <w:b/>
                <w:color w:val="000000"/>
                <w:sz w:val="24"/>
                <w:szCs w:val="24"/>
              </w:rPr>
              <w:t>NPL</w:t>
            </w:r>
          </w:p>
        </w:tc>
        <w:tc>
          <w:tcPr>
            <w:cnfStyle w:val="000010000000" w:firstRow="0" w:lastRow="0" w:firstColumn="0" w:lastColumn="0" w:oddVBand="1" w:evenVBand="0" w:oddHBand="0" w:evenHBand="0" w:firstRowFirstColumn="0" w:firstRowLastColumn="0" w:lastRowFirstColumn="0" w:lastRowLastColumn="0"/>
            <w:tcW w:w="1985" w:type="dxa"/>
            <w:tcBorders>
              <w:bottom w:val="single" w:sz="4" w:space="0" w:color="auto"/>
            </w:tcBorders>
            <w:shd w:val="clear" w:color="auto" w:fill="auto"/>
            <w:vAlign w:val="bottom"/>
          </w:tcPr>
          <w:p w14:paraId="01530DD6" w14:textId="38212B70" w:rsidR="009378E5" w:rsidRPr="00D70EB4" w:rsidRDefault="009378E5" w:rsidP="00FB3FAC">
            <w:pPr>
              <w:autoSpaceDE w:val="0"/>
              <w:autoSpaceDN w:val="0"/>
              <w:adjustRightInd w:val="0"/>
              <w:spacing w:line="276" w:lineRule="auto"/>
              <w:jc w:val="center"/>
              <w:rPr>
                <w:rFonts w:ascii="Times New Roman" w:hAnsi="Times New Roman" w:cs="Times New Roman"/>
                <w:b/>
                <w:color w:val="000000"/>
                <w:sz w:val="24"/>
                <w:szCs w:val="24"/>
              </w:rPr>
            </w:pPr>
            <w:r w:rsidRPr="00D70EB4">
              <w:rPr>
                <w:rFonts w:ascii="Times New Roman" w:hAnsi="Times New Roman" w:cs="Times New Roman"/>
                <w:b/>
                <w:color w:val="000000"/>
                <w:sz w:val="24"/>
                <w:szCs w:val="24"/>
              </w:rPr>
              <w:t>OWC</w:t>
            </w:r>
          </w:p>
        </w:tc>
        <w:tc>
          <w:tcPr>
            <w:tcW w:w="2409" w:type="dxa"/>
            <w:tcBorders>
              <w:bottom w:val="single" w:sz="4" w:space="0" w:color="auto"/>
            </w:tcBorders>
            <w:shd w:val="clear" w:color="auto" w:fill="auto"/>
            <w:vAlign w:val="bottom"/>
          </w:tcPr>
          <w:p w14:paraId="6A466B8F" w14:textId="7DD793EE" w:rsidR="009378E5" w:rsidRPr="00D70EB4"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D70EB4">
              <w:rPr>
                <w:rFonts w:ascii="Times New Roman" w:hAnsi="Times New Roman" w:cs="Times New Roman"/>
                <w:b/>
                <w:color w:val="000000"/>
                <w:sz w:val="24"/>
                <w:szCs w:val="24"/>
              </w:rPr>
              <w:t>BS</w:t>
            </w:r>
          </w:p>
        </w:tc>
      </w:tr>
      <w:tr w:rsidR="009378E5" w:rsidRPr="00B85385" w14:paraId="48AF09D1" w14:textId="77777777" w:rsidTr="00426A71">
        <w:trPr>
          <w:trHeight w:val="21"/>
        </w:trPr>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auto"/>
            </w:tcBorders>
            <w:shd w:val="clear" w:color="auto" w:fill="auto"/>
            <w:vAlign w:val="bottom"/>
          </w:tcPr>
          <w:p w14:paraId="70CF3C6A" w14:textId="54D71B2A" w:rsidR="009378E5" w:rsidRPr="00B85385" w:rsidRDefault="009378E5" w:rsidP="00FB3FAC">
            <w:pPr>
              <w:autoSpaceDE w:val="0"/>
              <w:autoSpaceDN w:val="0"/>
              <w:adjustRightInd w:val="0"/>
              <w:spacing w:line="276" w:lineRule="auto"/>
              <w:rPr>
                <w:rFonts w:ascii="Times New Roman" w:hAnsi="Times New Roman" w:cs="Times New Roman"/>
                <w:b/>
                <w:color w:val="000000"/>
                <w:sz w:val="24"/>
                <w:szCs w:val="24"/>
              </w:rPr>
            </w:pPr>
            <w:r w:rsidRPr="00B85385">
              <w:rPr>
                <w:rFonts w:ascii="Times New Roman" w:hAnsi="Times New Roman" w:cs="Times New Roman"/>
                <w:color w:val="000000"/>
                <w:sz w:val="24"/>
                <w:szCs w:val="24"/>
              </w:rPr>
              <w:t> Mean</w:t>
            </w:r>
          </w:p>
        </w:tc>
        <w:tc>
          <w:tcPr>
            <w:tcW w:w="2788" w:type="dxa"/>
            <w:tcBorders>
              <w:top w:val="single" w:sz="4" w:space="0" w:color="auto"/>
            </w:tcBorders>
            <w:shd w:val="clear" w:color="auto" w:fill="auto"/>
            <w:vAlign w:val="bottom"/>
          </w:tcPr>
          <w:p w14:paraId="594DB0CF" w14:textId="5919D778"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B85385">
              <w:rPr>
                <w:rFonts w:ascii="Times New Roman" w:hAnsi="Times New Roman" w:cs="Times New Roman"/>
                <w:color w:val="000000"/>
                <w:sz w:val="24"/>
                <w:szCs w:val="24"/>
              </w:rPr>
              <w:t> 0.051940</w:t>
            </w:r>
          </w:p>
        </w:tc>
        <w:tc>
          <w:tcPr>
            <w:cnfStyle w:val="000010000000" w:firstRow="0" w:lastRow="0" w:firstColumn="0" w:lastColumn="0" w:oddVBand="1" w:evenVBand="0" w:oddHBand="0" w:evenHBand="0" w:firstRowFirstColumn="0" w:firstRowLastColumn="0" w:lastRowFirstColumn="0" w:lastRowLastColumn="0"/>
            <w:tcW w:w="1985" w:type="dxa"/>
            <w:tcBorders>
              <w:top w:val="single" w:sz="4" w:space="0" w:color="auto"/>
            </w:tcBorders>
            <w:shd w:val="clear" w:color="auto" w:fill="auto"/>
            <w:vAlign w:val="bottom"/>
          </w:tcPr>
          <w:p w14:paraId="1484CA3F" w14:textId="6D2555A0" w:rsidR="009378E5" w:rsidRPr="00B85385" w:rsidRDefault="00B85385" w:rsidP="00FB3FAC">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 4.390000</w:t>
            </w:r>
          </w:p>
        </w:tc>
        <w:tc>
          <w:tcPr>
            <w:tcW w:w="2409" w:type="dxa"/>
            <w:tcBorders>
              <w:top w:val="single" w:sz="4" w:space="0" w:color="auto"/>
            </w:tcBorders>
            <w:shd w:val="clear" w:color="auto" w:fill="auto"/>
            <w:vAlign w:val="bottom"/>
          </w:tcPr>
          <w:p w14:paraId="454F8C95" w14:textId="32DFCF44"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B85385">
              <w:rPr>
                <w:rFonts w:ascii="Times New Roman" w:hAnsi="Times New Roman" w:cs="Times New Roman"/>
                <w:color w:val="000000"/>
                <w:sz w:val="24"/>
                <w:szCs w:val="24"/>
              </w:rPr>
              <w:t> 9.345447</w:t>
            </w:r>
          </w:p>
        </w:tc>
      </w:tr>
      <w:tr w:rsidR="009378E5" w:rsidRPr="00B85385" w14:paraId="0478DE8B" w14:textId="77777777" w:rsidTr="00426A7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7E18843E" w14:textId="79C88ED9" w:rsidR="009378E5" w:rsidRPr="00B85385" w:rsidRDefault="009378E5" w:rsidP="00FB3FAC">
            <w:pPr>
              <w:autoSpaceDE w:val="0"/>
              <w:autoSpaceDN w:val="0"/>
              <w:adjustRightInd w:val="0"/>
              <w:spacing w:line="276" w:lineRule="auto"/>
              <w:rPr>
                <w:rFonts w:ascii="Times New Roman" w:hAnsi="Times New Roman" w:cs="Times New Roman"/>
                <w:color w:val="000000"/>
                <w:sz w:val="24"/>
                <w:szCs w:val="24"/>
              </w:rPr>
            </w:pPr>
            <w:r w:rsidRPr="00B85385">
              <w:rPr>
                <w:rFonts w:ascii="Times New Roman" w:hAnsi="Times New Roman" w:cs="Times New Roman"/>
                <w:color w:val="000000"/>
                <w:sz w:val="24"/>
                <w:szCs w:val="24"/>
              </w:rPr>
              <w:t> Median</w:t>
            </w:r>
          </w:p>
        </w:tc>
        <w:tc>
          <w:tcPr>
            <w:tcW w:w="2788" w:type="dxa"/>
            <w:shd w:val="clear" w:color="auto" w:fill="auto"/>
            <w:vAlign w:val="bottom"/>
          </w:tcPr>
          <w:p w14:paraId="0D963F41" w14:textId="5F6645A3"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0.041215</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5805567C" w14:textId="028E5FBA" w:rsidR="009378E5" w:rsidRPr="00B85385" w:rsidRDefault="00B85385" w:rsidP="00FB3F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3.290000</w:t>
            </w:r>
          </w:p>
        </w:tc>
        <w:tc>
          <w:tcPr>
            <w:tcW w:w="2409" w:type="dxa"/>
            <w:shd w:val="clear" w:color="auto" w:fill="auto"/>
            <w:vAlign w:val="bottom"/>
          </w:tcPr>
          <w:p w14:paraId="5FD3C3E3" w14:textId="2E008085"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9.332880</w:t>
            </w:r>
          </w:p>
        </w:tc>
      </w:tr>
      <w:tr w:rsidR="009378E5" w:rsidRPr="00B85385" w14:paraId="1B5C9B1F" w14:textId="77777777" w:rsidTr="00426A71">
        <w:trPr>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2BFE2249" w14:textId="4F148946" w:rsidR="009378E5" w:rsidRPr="00B85385" w:rsidRDefault="009378E5" w:rsidP="00FB3FAC">
            <w:pPr>
              <w:autoSpaceDE w:val="0"/>
              <w:autoSpaceDN w:val="0"/>
              <w:adjustRightInd w:val="0"/>
              <w:spacing w:line="276" w:lineRule="auto"/>
              <w:rPr>
                <w:rFonts w:ascii="Times New Roman" w:hAnsi="Times New Roman" w:cs="Times New Roman"/>
                <w:color w:val="000000"/>
                <w:sz w:val="24"/>
                <w:szCs w:val="24"/>
              </w:rPr>
            </w:pPr>
            <w:r w:rsidRPr="00B85385">
              <w:rPr>
                <w:rFonts w:ascii="Times New Roman" w:hAnsi="Times New Roman" w:cs="Times New Roman"/>
                <w:color w:val="000000"/>
                <w:sz w:val="24"/>
                <w:szCs w:val="24"/>
              </w:rPr>
              <w:t> Maximum</w:t>
            </w:r>
          </w:p>
        </w:tc>
        <w:tc>
          <w:tcPr>
            <w:tcW w:w="2788" w:type="dxa"/>
            <w:shd w:val="clear" w:color="auto" w:fill="auto"/>
            <w:vAlign w:val="bottom"/>
          </w:tcPr>
          <w:p w14:paraId="4F760F4E" w14:textId="61B7899D"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0.253466</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7F35F36E" w14:textId="6B20597D" w:rsidR="009378E5" w:rsidRPr="00B85385" w:rsidRDefault="00B85385" w:rsidP="00FB3F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2.340000</w:t>
            </w:r>
          </w:p>
        </w:tc>
        <w:tc>
          <w:tcPr>
            <w:tcW w:w="2409" w:type="dxa"/>
            <w:shd w:val="clear" w:color="auto" w:fill="auto"/>
            <w:vAlign w:val="bottom"/>
          </w:tcPr>
          <w:p w14:paraId="53C8C9D5" w14:textId="53A046D6"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9.928461</w:t>
            </w:r>
          </w:p>
        </w:tc>
      </w:tr>
      <w:tr w:rsidR="009378E5" w:rsidRPr="00B85385" w14:paraId="6BDED5D8" w14:textId="77777777" w:rsidTr="00426A7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4AB7BD77" w14:textId="5E0EE174" w:rsidR="009378E5" w:rsidRPr="00B85385" w:rsidRDefault="009378E5" w:rsidP="00FB3FAC">
            <w:pPr>
              <w:autoSpaceDE w:val="0"/>
              <w:autoSpaceDN w:val="0"/>
              <w:adjustRightInd w:val="0"/>
              <w:spacing w:line="276" w:lineRule="auto"/>
              <w:rPr>
                <w:rFonts w:ascii="Times New Roman" w:hAnsi="Times New Roman" w:cs="Times New Roman"/>
                <w:color w:val="000000"/>
                <w:sz w:val="24"/>
                <w:szCs w:val="24"/>
              </w:rPr>
            </w:pPr>
            <w:r w:rsidRPr="00B85385">
              <w:rPr>
                <w:rFonts w:ascii="Times New Roman" w:hAnsi="Times New Roman" w:cs="Times New Roman"/>
                <w:color w:val="000000"/>
                <w:sz w:val="24"/>
                <w:szCs w:val="24"/>
              </w:rPr>
              <w:t> Minimum</w:t>
            </w:r>
          </w:p>
        </w:tc>
        <w:tc>
          <w:tcPr>
            <w:tcW w:w="2788" w:type="dxa"/>
            <w:shd w:val="clear" w:color="auto" w:fill="auto"/>
            <w:vAlign w:val="bottom"/>
          </w:tcPr>
          <w:p w14:paraId="05EC69D5" w14:textId="2659CB41"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0.000965</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59A4BD8F" w14:textId="4D883C24" w:rsidR="009378E5" w:rsidRPr="00B85385" w:rsidRDefault="00B85385" w:rsidP="00FB3F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9.740000</w:t>
            </w:r>
          </w:p>
        </w:tc>
        <w:tc>
          <w:tcPr>
            <w:tcW w:w="2409" w:type="dxa"/>
            <w:shd w:val="clear" w:color="auto" w:fill="auto"/>
            <w:vAlign w:val="bottom"/>
          </w:tcPr>
          <w:p w14:paraId="20090519" w14:textId="39AEE68F"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8.743907</w:t>
            </w:r>
          </w:p>
        </w:tc>
      </w:tr>
      <w:tr w:rsidR="009378E5" w:rsidRPr="00B85385" w14:paraId="1C06BE0C" w14:textId="77777777" w:rsidTr="00426A71">
        <w:trPr>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5EBEA67E" w14:textId="0E8C2314" w:rsidR="009378E5" w:rsidRPr="00B85385" w:rsidRDefault="009378E5" w:rsidP="00FB3FAC">
            <w:pPr>
              <w:autoSpaceDE w:val="0"/>
              <w:autoSpaceDN w:val="0"/>
              <w:adjustRightInd w:val="0"/>
              <w:spacing w:line="276" w:lineRule="auto"/>
              <w:rPr>
                <w:rFonts w:ascii="Times New Roman" w:hAnsi="Times New Roman" w:cs="Times New Roman"/>
                <w:color w:val="000000"/>
                <w:sz w:val="24"/>
                <w:szCs w:val="24"/>
              </w:rPr>
            </w:pPr>
            <w:r w:rsidRPr="00B85385">
              <w:rPr>
                <w:rFonts w:ascii="Times New Roman" w:hAnsi="Times New Roman" w:cs="Times New Roman"/>
                <w:color w:val="000000"/>
                <w:sz w:val="24"/>
                <w:szCs w:val="24"/>
              </w:rPr>
              <w:t> Std. Dev.</w:t>
            </w:r>
          </w:p>
        </w:tc>
        <w:tc>
          <w:tcPr>
            <w:tcW w:w="2788" w:type="dxa"/>
            <w:shd w:val="clear" w:color="auto" w:fill="auto"/>
            <w:vAlign w:val="bottom"/>
          </w:tcPr>
          <w:p w14:paraId="530626AF" w14:textId="43191058"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0.048603</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2E06EB88" w14:textId="448FFE15" w:rsidR="009378E5" w:rsidRPr="00B85385" w:rsidRDefault="00B85385" w:rsidP="00FB3FAC">
            <w:pPr>
              <w:autoSpaceDE w:val="0"/>
              <w:autoSpaceDN w:val="0"/>
              <w:adjustRightInd w:val="0"/>
              <w:spacing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3.600000</w:t>
            </w:r>
          </w:p>
        </w:tc>
        <w:tc>
          <w:tcPr>
            <w:tcW w:w="2409" w:type="dxa"/>
            <w:shd w:val="clear" w:color="auto" w:fill="auto"/>
            <w:vAlign w:val="bottom"/>
          </w:tcPr>
          <w:p w14:paraId="5A867FB8" w14:textId="3A6C1385"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0.292840</w:t>
            </w:r>
          </w:p>
        </w:tc>
      </w:tr>
      <w:tr w:rsidR="009378E5" w:rsidRPr="00B85385" w14:paraId="47AE6C85" w14:textId="77777777" w:rsidTr="00426A7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49B58F20" w14:textId="2B4AEF29" w:rsidR="009378E5" w:rsidRPr="00B85385" w:rsidRDefault="009378E5" w:rsidP="00FB3FAC">
            <w:pPr>
              <w:autoSpaceDE w:val="0"/>
              <w:autoSpaceDN w:val="0"/>
              <w:adjustRightInd w:val="0"/>
              <w:spacing w:line="276" w:lineRule="auto"/>
              <w:rPr>
                <w:rFonts w:ascii="Times New Roman" w:hAnsi="Times New Roman" w:cs="Times New Roman"/>
                <w:color w:val="000000"/>
                <w:sz w:val="24"/>
                <w:szCs w:val="24"/>
              </w:rPr>
            </w:pPr>
            <w:r w:rsidRPr="00B85385">
              <w:rPr>
                <w:rFonts w:ascii="Times New Roman" w:hAnsi="Times New Roman" w:cs="Times New Roman"/>
                <w:color w:val="000000"/>
                <w:sz w:val="24"/>
                <w:szCs w:val="24"/>
              </w:rPr>
              <w:t> Skewness</w:t>
            </w:r>
          </w:p>
        </w:tc>
        <w:tc>
          <w:tcPr>
            <w:tcW w:w="2788" w:type="dxa"/>
            <w:shd w:val="clear" w:color="auto" w:fill="auto"/>
            <w:vAlign w:val="bottom"/>
          </w:tcPr>
          <w:p w14:paraId="5540A460" w14:textId="603D76CF"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2.365202</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2BEEEA57" w14:textId="79CDDF67" w:rsidR="009378E5" w:rsidRPr="00B85385" w:rsidRDefault="009378E5" w:rsidP="00FB3FAC">
            <w:pPr>
              <w:autoSpaceDE w:val="0"/>
              <w:autoSpaceDN w:val="0"/>
              <w:adjustRightInd w:val="0"/>
              <w:spacing w:line="276" w:lineRule="auto"/>
              <w:jc w:val="center"/>
              <w:rPr>
                <w:rFonts w:ascii="Times New Roman" w:hAnsi="Times New Roman" w:cs="Times New Roman"/>
                <w:color w:val="000000"/>
                <w:sz w:val="24"/>
                <w:szCs w:val="24"/>
              </w:rPr>
            </w:pPr>
            <w:r w:rsidRPr="00B85385">
              <w:rPr>
                <w:rFonts w:ascii="Times New Roman" w:hAnsi="Times New Roman" w:cs="Times New Roman"/>
                <w:color w:val="000000"/>
                <w:sz w:val="24"/>
                <w:szCs w:val="24"/>
              </w:rPr>
              <w:t> 2.438952</w:t>
            </w:r>
          </w:p>
        </w:tc>
        <w:tc>
          <w:tcPr>
            <w:tcW w:w="2409" w:type="dxa"/>
            <w:shd w:val="clear" w:color="auto" w:fill="auto"/>
            <w:vAlign w:val="bottom"/>
          </w:tcPr>
          <w:p w14:paraId="07A0E1ED" w14:textId="2C2EE70C"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0.070390</w:t>
            </w:r>
          </w:p>
        </w:tc>
      </w:tr>
      <w:tr w:rsidR="009378E5" w:rsidRPr="00B85385" w14:paraId="03AD7A84" w14:textId="77777777" w:rsidTr="00426A71">
        <w:trPr>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09860D4D" w14:textId="44CE15B1" w:rsidR="009378E5" w:rsidRPr="00B85385" w:rsidRDefault="009378E5" w:rsidP="00FB3FAC">
            <w:pPr>
              <w:autoSpaceDE w:val="0"/>
              <w:autoSpaceDN w:val="0"/>
              <w:adjustRightInd w:val="0"/>
              <w:spacing w:line="276" w:lineRule="auto"/>
              <w:rPr>
                <w:rFonts w:ascii="Times New Roman" w:hAnsi="Times New Roman" w:cs="Times New Roman"/>
                <w:color w:val="000000"/>
                <w:sz w:val="24"/>
                <w:szCs w:val="24"/>
              </w:rPr>
            </w:pPr>
            <w:r w:rsidRPr="00B85385">
              <w:rPr>
                <w:rFonts w:ascii="Times New Roman" w:hAnsi="Times New Roman" w:cs="Times New Roman"/>
                <w:color w:val="000000"/>
                <w:sz w:val="24"/>
                <w:szCs w:val="24"/>
              </w:rPr>
              <w:t> Kurtosis</w:t>
            </w:r>
          </w:p>
        </w:tc>
        <w:tc>
          <w:tcPr>
            <w:tcW w:w="2788" w:type="dxa"/>
            <w:shd w:val="clear" w:color="auto" w:fill="auto"/>
            <w:vAlign w:val="bottom"/>
          </w:tcPr>
          <w:p w14:paraId="76B8F46C" w14:textId="28F21C9A"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8.775504</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3085CEF1" w14:textId="13C8759A" w:rsidR="009378E5" w:rsidRPr="00B85385" w:rsidRDefault="009378E5" w:rsidP="00FB3FAC">
            <w:pPr>
              <w:autoSpaceDE w:val="0"/>
              <w:autoSpaceDN w:val="0"/>
              <w:adjustRightInd w:val="0"/>
              <w:spacing w:line="276" w:lineRule="auto"/>
              <w:jc w:val="center"/>
              <w:rPr>
                <w:rFonts w:ascii="Times New Roman" w:hAnsi="Times New Roman" w:cs="Times New Roman"/>
                <w:color w:val="000000"/>
                <w:sz w:val="24"/>
                <w:szCs w:val="24"/>
              </w:rPr>
            </w:pPr>
            <w:r w:rsidRPr="00B85385">
              <w:rPr>
                <w:rFonts w:ascii="Times New Roman" w:hAnsi="Times New Roman" w:cs="Times New Roman"/>
                <w:color w:val="000000"/>
                <w:sz w:val="24"/>
                <w:szCs w:val="24"/>
              </w:rPr>
              <w:t> 11.57727</w:t>
            </w:r>
          </w:p>
        </w:tc>
        <w:tc>
          <w:tcPr>
            <w:tcW w:w="2409" w:type="dxa"/>
            <w:shd w:val="clear" w:color="auto" w:fill="auto"/>
            <w:vAlign w:val="bottom"/>
          </w:tcPr>
          <w:p w14:paraId="1860C932" w14:textId="19961B76"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B85385">
              <w:rPr>
                <w:rFonts w:ascii="Times New Roman" w:hAnsi="Times New Roman" w:cs="Times New Roman"/>
                <w:color w:val="000000"/>
                <w:sz w:val="24"/>
                <w:szCs w:val="24"/>
              </w:rPr>
              <w:t> 2.092052</w:t>
            </w:r>
          </w:p>
        </w:tc>
      </w:tr>
      <w:tr w:rsidR="009378E5" w:rsidRPr="00B85385" w14:paraId="1FAA0BA4" w14:textId="77777777" w:rsidTr="00426A7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3141D333" w14:textId="046B9ACD" w:rsidR="009378E5" w:rsidRPr="00B85385" w:rsidRDefault="009378E5" w:rsidP="00FB3FAC">
            <w:pPr>
              <w:autoSpaceDE w:val="0"/>
              <w:autoSpaceDN w:val="0"/>
              <w:adjustRightInd w:val="0"/>
              <w:spacing w:line="276" w:lineRule="auto"/>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Jarque-Bera</w:t>
            </w:r>
          </w:p>
        </w:tc>
        <w:tc>
          <w:tcPr>
            <w:tcW w:w="2788" w:type="dxa"/>
            <w:shd w:val="clear" w:color="auto" w:fill="auto"/>
            <w:vAlign w:val="bottom"/>
          </w:tcPr>
          <w:p w14:paraId="45501CAD" w14:textId="3B857F42"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208.9994</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2D68E7D3" w14:textId="5F91B244" w:rsidR="009378E5" w:rsidRPr="00B85385" w:rsidRDefault="009378E5" w:rsidP="00FB3FAC">
            <w:pPr>
              <w:autoSpaceDE w:val="0"/>
              <w:autoSpaceDN w:val="0"/>
              <w:adjustRightInd w:val="0"/>
              <w:spacing w:line="276" w:lineRule="auto"/>
              <w:jc w:val="center"/>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365.1135</w:t>
            </w:r>
          </w:p>
        </w:tc>
        <w:tc>
          <w:tcPr>
            <w:tcW w:w="2409" w:type="dxa"/>
            <w:shd w:val="clear" w:color="auto" w:fill="auto"/>
            <w:vAlign w:val="bottom"/>
          </w:tcPr>
          <w:p w14:paraId="2C924E5D" w14:textId="4934E2DA"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3.165707</w:t>
            </w:r>
          </w:p>
        </w:tc>
      </w:tr>
      <w:tr w:rsidR="009378E5" w:rsidRPr="00B85385" w14:paraId="7C89639F" w14:textId="77777777" w:rsidTr="00426A71">
        <w:trPr>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598D43E1" w14:textId="61A357B2" w:rsidR="009378E5" w:rsidRPr="00B85385" w:rsidRDefault="009378E5" w:rsidP="00FB3FAC">
            <w:pPr>
              <w:autoSpaceDE w:val="0"/>
              <w:autoSpaceDN w:val="0"/>
              <w:adjustRightInd w:val="0"/>
              <w:spacing w:line="276" w:lineRule="auto"/>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Probability</w:t>
            </w:r>
          </w:p>
        </w:tc>
        <w:tc>
          <w:tcPr>
            <w:tcW w:w="2788" w:type="dxa"/>
            <w:shd w:val="clear" w:color="auto" w:fill="auto"/>
            <w:vAlign w:val="bottom"/>
          </w:tcPr>
          <w:p w14:paraId="1B71FC83" w14:textId="02CB41A8"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0.000000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7EF0E509" w14:textId="55CFC03F" w:rsidR="009378E5" w:rsidRPr="00B85385" w:rsidRDefault="009378E5" w:rsidP="00FB3FAC">
            <w:pPr>
              <w:autoSpaceDE w:val="0"/>
              <w:autoSpaceDN w:val="0"/>
              <w:adjustRightInd w:val="0"/>
              <w:spacing w:line="276" w:lineRule="auto"/>
              <w:jc w:val="center"/>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0.000000</w:t>
            </w:r>
          </w:p>
        </w:tc>
        <w:tc>
          <w:tcPr>
            <w:tcW w:w="2409" w:type="dxa"/>
            <w:shd w:val="clear" w:color="auto" w:fill="auto"/>
            <w:vAlign w:val="bottom"/>
          </w:tcPr>
          <w:p w14:paraId="7A8F73FD" w14:textId="4326A737"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0.205388</w:t>
            </w:r>
          </w:p>
        </w:tc>
      </w:tr>
      <w:tr w:rsidR="009378E5" w:rsidRPr="00B85385" w14:paraId="2DA7AE50" w14:textId="77777777" w:rsidTr="00426A7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783D3057" w14:textId="3CE9C2BF" w:rsidR="009378E5" w:rsidRPr="00B85385" w:rsidRDefault="009378E5" w:rsidP="00FB3FAC">
            <w:pPr>
              <w:autoSpaceDE w:val="0"/>
              <w:autoSpaceDN w:val="0"/>
              <w:adjustRightInd w:val="0"/>
              <w:spacing w:line="276" w:lineRule="auto"/>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Sum</w:t>
            </w:r>
          </w:p>
        </w:tc>
        <w:tc>
          <w:tcPr>
            <w:tcW w:w="2788" w:type="dxa"/>
            <w:shd w:val="clear" w:color="auto" w:fill="auto"/>
            <w:vAlign w:val="bottom"/>
          </w:tcPr>
          <w:p w14:paraId="5E7473D0" w14:textId="6EE0E416"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4.674580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348BD64B" w14:textId="3B03677D" w:rsidR="009378E5" w:rsidRPr="00B85385" w:rsidRDefault="00B85385" w:rsidP="00FB3FAC">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3.950000</w:t>
            </w:r>
          </w:p>
        </w:tc>
        <w:tc>
          <w:tcPr>
            <w:tcW w:w="2409" w:type="dxa"/>
            <w:shd w:val="clear" w:color="auto" w:fill="auto"/>
            <w:vAlign w:val="bottom"/>
          </w:tcPr>
          <w:p w14:paraId="73A8CC04" w14:textId="0EBBC981"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841.0902</w:t>
            </w:r>
          </w:p>
        </w:tc>
      </w:tr>
      <w:tr w:rsidR="009378E5" w:rsidRPr="00B85385" w14:paraId="2752F7FE" w14:textId="77777777" w:rsidTr="00426A71">
        <w:trPr>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3D4F6591" w14:textId="552E02C6" w:rsidR="009378E5" w:rsidRPr="00B85385" w:rsidRDefault="009378E5" w:rsidP="00FB3FAC">
            <w:pPr>
              <w:autoSpaceDE w:val="0"/>
              <w:autoSpaceDN w:val="0"/>
              <w:adjustRightInd w:val="0"/>
              <w:spacing w:line="276" w:lineRule="auto"/>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Sum Sq. Dev.</w:t>
            </w:r>
          </w:p>
        </w:tc>
        <w:tc>
          <w:tcPr>
            <w:tcW w:w="2788" w:type="dxa"/>
            <w:shd w:val="clear" w:color="auto" w:fill="auto"/>
            <w:vAlign w:val="bottom"/>
          </w:tcPr>
          <w:p w14:paraId="29F845D1" w14:textId="612D4683"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0.210243</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349B2A1C" w14:textId="08DA8D9B" w:rsidR="009378E5" w:rsidRPr="00B85385" w:rsidRDefault="00B85385" w:rsidP="00FB3FAC">
            <w:pPr>
              <w:autoSpaceDE w:val="0"/>
              <w:autoSpaceDN w:val="0"/>
              <w:adjustRightInd w:val="0"/>
              <w:spacing w:line="276"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1.160000</w:t>
            </w:r>
          </w:p>
        </w:tc>
        <w:tc>
          <w:tcPr>
            <w:tcW w:w="2409" w:type="dxa"/>
            <w:shd w:val="clear" w:color="auto" w:fill="auto"/>
            <w:vAlign w:val="bottom"/>
          </w:tcPr>
          <w:p w14:paraId="3FAB3D14" w14:textId="3C2C49B6" w:rsidR="009378E5" w:rsidRPr="00B85385" w:rsidRDefault="009378E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7.632238</w:t>
            </w:r>
          </w:p>
        </w:tc>
      </w:tr>
      <w:tr w:rsidR="009378E5" w:rsidRPr="00B85385" w14:paraId="09606FE3" w14:textId="77777777" w:rsidTr="00426A71">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4D50073D" w14:textId="0A1494B3" w:rsidR="009378E5" w:rsidRPr="00B85385" w:rsidRDefault="009378E5" w:rsidP="00FB3FAC">
            <w:pPr>
              <w:autoSpaceDE w:val="0"/>
              <w:autoSpaceDN w:val="0"/>
              <w:adjustRightInd w:val="0"/>
              <w:spacing w:line="276" w:lineRule="auto"/>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Observations</w:t>
            </w:r>
          </w:p>
        </w:tc>
        <w:tc>
          <w:tcPr>
            <w:tcW w:w="2788" w:type="dxa"/>
            <w:shd w:val="clear" w:color="auto" w:fill="auto"/>
            <w:vAlign w:val="bottom"/>
          </w:tcPr>
          <w:p w14:paraId="123285C8" w14:textId="529958BD"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90</w:t>
            </w:r>
          </w:p>
        </w:tc>
        <w:tc>
          <w:tcPr>
            <w:cnfStyle w:val="000010000000" w:firstRow="0" w:lastRow="0" w:firstColumn="0" w:lastColumn="0" w:oddVBand="1" w:evenVBand="0" w:oddHBand="0" w:evenHBand="0" w:firstRowFirstColumn="0" w:firstRowLastColumn="0" w:lastRowFirstColumn="0" w:lastRowLastColumn="0"/>
            <w:tcW w:w="1985" w:type="dxa"/>
            <w:shd w:val="clear" w:color="auto" w:fill="auto"/>
            <w:vAlign w:val="bottom"/>
          </w:tcPr>
          <w:p w14:paraId="3742FC3C" w14:textId="5FEE2FF6" w:rsidR="009378E5" w:rsidRPr="00B85385" w:rsidRDefault="009378E5" w:rsidP="00FB3FAC">
            <w:pPr>
              <w:autoSpaceDE w:val="0"/>
              <w:autoSpaceDN w:val="0"/>
              <w:adjustRightInd w:val="0"/>
              <w:spacing w:line="276" w:lineRule="auto"/>
              <w:jc w:val="center"/>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90</w:t>
            </w:r>
          </w:p>
        </w:tc>
        <w:tc>
          <w:tcPr>
            <w:tcW w:w="2409" w:type="dxa"/>
            <w:shd w:val="clear" w:color="auto" w:fill="auto"/>
            <w:vAlign w:val="bottom"/>
          </w:tcPr>
          <w:p w14:paraId="1FD35494" w14:textId="4FB2E062" w:rsidR="009378E5" w:rsidRPr="00B85385" w:rsidRDefault="009378E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B85385">
              <w:rPr>
                <w:rFonts w:ascii="Times New Roman" w:hAnsi="Times New Roman" w:cs="Times New Roman"/>
                <w:color w:val="000000"/>
                <w:sz w:val="24"/>
                <w:szCs w:val="24"/>
              </w:rPr>
              <w:t> 90</w:t>
            </w:r>
          </w:p>
        </w:tc>
      </w:tr>
    </w:tbl>
    <w:p w14:paraId="3DBFC4F8" w14:textId="77777777" w:rsidR="008162F6" w:rsidRPr="00BE2DAC" w:rsidRDefault="008162F6" w:rsidP="00FB3FAC">
      <w:pPr>
        <w:spacing w:after="0" w:line="480" w:lineRule="auto"/>
        <w:jc w:val="both"/>
        <w:rPr>
          <w:rFonts w:ascii="Times New Roman" w:hAnsi="Times New Roman" w:cs="Times New Roman"/>
          <w:b/>
          <w:i/>
          <w:sz w:val="24"/>
          <w:szCs w:val="24"/>
        </w:rPr>
      </w:pPr>
      <w:r>
        <w:rPr>
          <w:rFonts w:ascii="Times New Roman" w:eastAsia="Times New Roman" w:hAnsi="Times New Roman" w:cs="Times New Roman"/>
          <w:b/>
          <w:i/>
          <w:sz w:val="24"/>
          <w:szCs w:val="24"/>
        </w:rPr>
        <w:t xml:space="preserve">Source: </w:t>
      </w:r>
      <w:r>
        <w:rPr>
          <w:rFonts w:ascii="Times New Roman" w:eastAsia="Times New Roman" w:hAnsi="Times New Roman" w:cs="Times New Roman"/>
          <w:i/>
          <w:sz w:val="24"/>
          <w:szCs w:val="24"/>
        </w:rPr>
        <w:t>Author’s Computation, using E- views 12, 2022</w:t>
      </w:r>
    </w:p>
    <w:p w14:paraId="5A9871EA" w14:textId="34CD4493" w:rsidR="00B85385" w:rsidRPr="00C262FE" w:rsidRDefault="00701A4B" w:rsidP="00FB3FAC">
      <w:pPr>
        <w:spacing w:after="0" w:line="360" w:lineRule="auto"/>
        <w:jc w:val="both"/>
        <w:rPr>
          <w:rFonts w:ascii="Times New Roman" w:hAnsi="Times New Roman" w:cs="Times New Roman"/>
          <w:sz w:val="24"/>
          <w:szCs w:val="24"/>
        </w:rPr>
      </w:pPr>
      <w:r w:rsidRPr="003D4632">
        <w:rPr>
          <w:rFonts w:ascii="Times New Roman" w:hAnsi="Times New Roman" w:cs="Times New Roman"/>
          <w:sz w:val="24"/>
          <w:szCs w:val="24"/>
        </w:rPr>
        <w:t>The mean value of</w:t>
      </w:r>
      <w:r w:rsidR="00862DE2" w:rsidRPr="003D4632">
        <w:rPr>
          <w:rFonts w:ascii="Times New Roman" w:hAnsi="Times New Roman" w:cs="Times New Roman"/>
          <w:sz w:val="24"/>
          <w:szCs w:val="24"/>
        </w:rPr>
        <w:t xml:space="preserve"> </w:t>
      </w:r>
      <w:r w:rsidR="003C2196">
        <w:rPr>
          <w:rFonts w:ascii="Times New Roman" w:hAnsi="Times New Roman" w:cs="Times New Roman"/>
          <w:sz w:val="24"/>
          <w:szCs w:val="24"/>
        </w:rPr>
        <w:t xml:space="preserve">the </w:t>
      </w:r>
      <w:r w:rsidR="00F50E76" w:rsidRPr="003D4632">
        <w:rPr>
          <w:rFonts w:ascii="Times New Roman" w:hAnsi="Times New Roman" w:cs="Times New Roman"/>
          <w:sz w:val="24"/>
          <w:szCs w:val="24"/>
        </w:rPr>
        <w:t>non-performing</w:t>
      </w:r>
      <w:r w:rsidR="00862DE2" w:rsidRPr="003D4632">
        <w:rPr>
          <w:rFonts w:ascii="Times New Roman" w:hAnsi="Times New Roman" w:cs="Times New Roman"/>
          <w:sz w:val="24"/>
          <w:szCs w:val="24"/>
        </w:rPr>
        <w:t xml:space="preserve"> loan ratio</w:t>
      </w:r>
      <w:r w:rsidRPr="003D4632">
        <w:rPr>
          <w:rFonts w:ascii="Times New Roman" w:hAnsi="Times New Roman" w:cs="Times New Roman"/>
          <w:sz w:val="24"/>
          <w:szCs w:val="24"/>
        </w:rPr>
        <w:t xml:space="preserve"> </w:t>
      </w:r>
      <w:r w:rsidR="00862DE2" w:rsidRPr="003D4632">
        <w:rPr>
          <w:rFonts w:ascii="Times New Roman" w:hAnsi="Times New Roman" w:cs="Times New Roman"/>
          <w:sz w:val="24"/>
          <w:szCs w:val="24"/>
        </w:rPr>
        <w:t>(NPL)</w:t>
      </w:r>
      <w:r w:rsidRPr="003D4632">
        <w:rPr>
          <w:rFonts w:ascii="Times New Roman" w:hAnsi="Times New Roman" w:cs="Times New Roman"/>
          <w:sz w:val="24"/>
          <w:szCs w:val="24"/>
        </w:rPr>
        <w:t xml:space="preserve"> is </w:t>
      </w:r>
      <w:r w:rsidR="00862DE2" w:rsidRPr="003D4632">
        <w:rPr>
          <w:rFonts w:ascii="Times New Roman" w:hAnsi="Times New Roman" w:cs="Times New Roman"/>
          <w:sz w:val="24"/>
          <w:szCs w:val="24"/>
        </w:rPr>
        <w:t>0.05</w:t>
      </w:r>
      <w:r w:rsidRPr="003D4632">
        <w:rPr>
          <w:rFonts w:ascii="Times New Roman" w:hAnsi="Times New Roman" w:cs="Times New Roman"/>
          <w:sz w:val="24"/>
          <w:szCs w:val="24"/>
        </w:rPr>
        <w:t xml:space="preserve"> and the median value is</w:t>
      </w:r>
      <w:r w:rsidR="00862DE2" w:rsidRPr="003D4632">
        <w:rPr>
          <w:rFonts w:ascii="Times New Roman" w:hAnsi="Times New Roman" w:cs="Times New Roman"/>
          <w:sz w:val="24"/>
          <w:szCs w:val="24"/>
        </w:rPr>
        <w:t xml:space="preserve"> 0.04</w:t>
      </w:r>
      <w:r w:rsidRPr="003D4632">
        <w:rPr>
          <w:rFonts w:ascii="Times New Roman" w:hAnsi="Times New Roman" w:cs="Times New Roman"/>
          <w:sz w:val="24"/>
          <w:szCs w:val="24"/>
        </w:rPr>
        <w:t xml:space="preserve">. This shows the presence of an outlier as can be confirmed </w:t>
      </w:r>
      <w:r w:rsidR="003C2196">
        <w:rPr>
          <w:rFonts w:ascii="Times New Roman" w:hAnsi="Times New Roman" w:cs="Times New Roman"/>
          <w:sz w:val="24"/>
          <w:szCs w:val="24"/>
        </w:rPr>
        <w:t xml:space="preserve">by </w:t>
      </w:r>
      <w:r w:rsidRPr="003D4632">
        <w:rPr>
          <w:rFonts w:ascii="Times New Roman" w:hAnsi="Times New Roman" w:cs="Times New Roman"/>
          <w:sz w:val="24"/>
          <w:szCs w:val="24"/>
        </w:rPr>
        <w:t xml:space="preserve">the difference between </w:t>
      </w:r>
      <w:r w:rsidR="003C2196">
        <w:rPr>
          <w:rFonts w:ascii="Times New Roman" w:hAnsi="Times New Roman" w:cs="Times New Roman"/>
          <w:sz w:val="24"/>
          <w:szCs w:val="24"/>
        </w:rPr>
        <w:t xml:space="preserve">a </w:t>
      </w:r>
      <w:r w:rsidRPr="003D4632">
        <w:rPr>
          <w:rFonts w:ascii="Times New Roman" w:hAnsi="Times New Roman" w:cs="Times New Roman"/>
          <w:sz w:val="24"/>
          <w:szCs w:val="24"/>
        </w:rPr>
        <w:t>minimum value and maximum value.   The mean value of</w:t>
      </w:r>
      <w:r w:rsidR="00862DE2" w:rsidRPr="003D4632">
        <w:rPr>
          <w:rFonts w:ascii="Times New Roman" w:hAnsi="Times New Roman" w:cs="Times New Roman"/>
          <w:sz w:val="24"/>
          <w:szCs w:val="24"/>
        </w:rPr>
        <w:t xml:space="preserve"> ownership concentration (NONS) </w:t>
      </w:r>
      <w:r w:rsidRPr="003D4632">
        <w:rPr>
          <w:rFonts w:ascii="Times New Roman" w:hAnsi="Times New Roman" w:cs="Times New Roman"/>
          <w:sz w:val="24"/>
          <w:szCs w:val="24"/>
        </w:rPr>
        <w:t xml:space="preserve">is </w:t>
      </w:r>
      <w:r w:rsidR="00862DE2" w:rsidRPr="003D4632">
        <w:rPr>
          <w:rFonts w:ascii="Times New Roman" w:hAnsi="Times New Roman" w:cs="Times New Roman"/>
          <w:sz w:val="24"/>
          <w:szCs w:val="24"/>
        </w:rPr>
        <w:t>2</w:t>
      </w:r>
      <w:r w:rsidRPr="003D4632">
        <w:rPr>
          <w:rFonts w:ascii="Times New Roman" w:hAnsi="Times New Roman" w:cs="Times New Roman"/>
          <w:sz w:val="24"/>
          <w:szCs w:val="24"/>
        </w:rPr>
        <w:t>.3</w:t>
      </w:r>
      <w:r w:rsidR="00862DE2" w:rsidRPr="003D4632">
        <w:rPr>
          <w:rFonts w:ascii="Times New Roman" w:hAnsi="Times New Roman" w:cs="Times New Roman"/>
          <w:sz w:val="24"/>
          <w:szCs w:val="24"/>
        </w:rPr>
        <w:t>9</w:t>
      </w:r>
      <w:r w:rsidRPr="003D4632">
        <w:rPr>
          <w:rFonts w:ascii="Times New Roman" w:hAnsi="Times New Roman" w:cs="Times New Roman"/>
          <w:sz w:val="24"/>
          <w:szCs w:val="24"/>
        </w:rPr>
        <w:t xml:space="preserve"> and the median value is </w:t>
      </w:r>
      <w:r w:rsidR="00862DE2" w:rsidRPr="003D4632">
        <w:rPr>
          <w:rFonts w:ascii="Times New Roman" w:hAnsi="Times New Roman" w:cs="Times New Roman"/>
          <w:sz w:val="24"/>
          <w:szCs w:val="24"/>
        </w:rPr>
        <w:t>3</w:t>
      </w:r>
      <w:r w:rsidRPr="003D4632">
        <w:rPr>
          <w:rFonts w:ascii="Times New Roman" w:hAnsi="Times New Roman" w:cs="Times New Roman"/>
          <w:sz w:val="24"/>
          <w:szCs w:val="24"/>
        </w:rPr>
        <w:t>.</w:t>
      </w:r>
      <w:r w:rsidR="00862DE2" w:rsidRPr="003D4632">
        <w:rPr>
          <w:rFonts w:ascii="Times New Roman" w:hAnsi="Times New Roman" w:cs="Times New Roman"/>
          <w:sz w:val="24"/>
          <w:szCs w:val="24"/>
        </w:rPr>
        <w:t>29</w:t>
      </w:r>
      <w:r w:rsidRPr="003D4632">
        <w:rPr>
          <w:rFonts w:ascii="Times New Roman" w:hAnsi="Times New Roman" w:cs="Times New Roman"/>
          <w:sz w:val="24"/>
          <w:szCs w:val="24"/>
        </w:rPr>
        <w:t xml:space="preserve">. This shows the presence of an outlier as can be confirmed </w:t>
      </w:r>
      <w:r w:rsidR="00C03CFB">
        <w:rPr>
          <w:rFonts w:ascii="Times New Roman" w:hAnsi="Times New Roman" w:cs="Times New Roman"/>
          <w:sz w:val="24"/>
          <w:szCs w:val="24"/>
        </w:rPr>
        <w:t xml:space="preserve">by </w:t>
      </w:r>
      <w:r w:rsidRPr="003D4632">
        <w:rPr>
          <w:rFonts w:ascii="Times New Roman" w:hAnsi="Times New Roman" w:cs="Times New Roman"/>
          <w:sz w:val="24"/>
          <w:szCs w:val="24"/>
        </w:rPr>
        <w:t xml:space="preserve">the difference between </w:t>
      </w:r>
      <w:r w:rsidR="00C03CFB">
        <w:rPr>
          <w:rFonts w:ascii="Times New Roman" w:hAnsi="Times New Roman" w:cs="Times New Roman"/>
          <w:sz w:val="24"/>
          <w:szCs w:val="24"/>
        </w:rPr>
        <w:t xml:space="preserve">a </w:t>
      </w:r>
      <w:r w:rsidRPr="003D4632">
        <w:rPr>
          <w:rFonts w:ascii="Times New Roman" w:hAnsi="Times New Roman" w:cs="Times New Roman"/>
          <w:sz w:val="24"/>
          <w:szCs w:val="24"/>
        </w:rPr>
        <w:t xml:space="preserve">minimum value and maximum value.  The mean value of </w:t>
      </w:r>
      <w:r w:rsidR="00862DE2" w:rsidRPr="003D4632">
        <w:rPr>
          <w:rFonts w:ascii="Times New Roman" w:hAnsi="Times New Roman" w:cs="Times New Roman"/>
          <w:sz w:val="24"/>
          <w:szCs w:val="24"/>
        </w:rPr>
        <w:t xml:space="preserve">bank size </w:t>
      </w:r>
      <w:r w:rsidRPr="003D4632">
        <w:rPr>
          <w:rFonts w:ascii="Times New Roman" w:hAnsi="Times New Roman" w:cs="Times New Roman"/>
          <w:sz w:val="24"/>
          <w:szCs w:val="24"/>
        </w:rPr>
        <w:t xml:space="preserve">is </w:t>
      </w:r>
      <w:r w:rsidR="00862DE2" w:rsidRPr="003D4632">
        <w:rPr>
          <w:rFonts w:ascii="Times New Roman" w:hAnsi="Times New Roman" w:cs="Times New Roman"/>
          <w:sz w:val="24"/>
          <w:szCs w:val="24"/>
        </w:rPr>
        <w:lastRenderedPageBreak/>
        <w:t>9</w:t>
      </w:r>
      <w:r w:rsidRPr="003D4632">
        <w:rPr>
          <w:rFonts w:ascii="Times New Roman" w:hAnsi="Times New Roman" w:cs="Times New Roman"/>
          <w:sz w:val="24"/>
          <w:szCs w:val="24"/>
        </w:rPr>
        <w:t>.</w:t>
      </w:r>
      <w:r w:rsidR="00862DE2" w:rsidRPr="003D4632">
        <w:rPr>
          <w:rFonts w:ascii="Times New Roman" w:hAnsi="Times New Roman" w:cs="Times New Roman"/>
          <w:sz w:val="24"/>
          <w:szCs w:val="24"/>
        </w:rPr>
        <w:t>36</w:t>
      </w:r>
      <w:r w:rsidRPr="003D4632">
        <w:rPr>
          <w:rFonts w:ascii="Times New Roman" w:hAnsi="Times New Roman" w:cs="Times New Roman"/>
          <w:sz w:val="24"/>
          <w:szCs w:val="24"/>
        </w:rPr>
        <w:t xml:space="preserve"> and the median value is </w:t>
      </w:r>
      <w:r w:rsidR="00EE65D6" w:rsidRPr="003D4632">
        <w:rPr>
          <w:rFonts w:ascii="Times New Roman" w:hAnsi="Times New Roman" w:cs="Times New Roman"/>
          <w:sz w:val="24"/>
          <w:szCs w:val="24"/>
        </w:rPr>
        <w:t>9</w:t>
      </w:r>
      <w:r w:rsidRPr="003D4632">
        <w:rPr>
          <w:rFonts w:ascii="Times New Roman" w:hAnsi="Times New Roman" w:cs="Times New Roman"/>
          <w:sz w:val="24"/>
          <w:szCs w:val="24"/>
        </w:rPr>
        <w:t>.</w:t>
      </w:r>
      <w:r w:rsidR="00EE65D6" w:rsidRPr="003D4632">
        <w:rPr>
          <w:rFonts w:ascii="Times New Roman" w:hAnsi="Times New Roman" w:cs="Times New Roman"/>
          <w:sz w:val="24"/>
          <w:szCs w:val="24"/>
        </w:rPr>
        <w:t>33</w:t>
      </w:r>
      <w:r w:rsidRPr="003D4632">
        <w:rPr>
          <w:rFonts w:ascii="Times New Roman" w:hAnsi="Times New Roman" w:cs="Times New Roman"/>
          <w:sz w:val="24"/>
          <w:szCs w:val="24"/>
        </w:rPr>
        <w:t xml:space="preserve">. This shows the presence of an outlier as can be confirmed </w:t>
      </w:r>
      <w:r w:rsidR="00C03CFB">
        <w:rPr>
          <w:rFonts w:ascii="Times New Roman" w:hAnsi="Times New Roman" w:cs="Times New Roman"/>
          <w:sz w:val="24"/>
          <w:szCs w:val="24"/>
        </w:rPr>
        <w:t xml:space="preserve">by </w:t>
      </w:r>
      <w:r w:rsidRPr="003D4632">
        <w:rPr>
          <w:rFonts w:ascii="Times New Roman" w:hAnsi="Times New Roman" w:cs="Times New Roman"/>
          <w:sz w:val="24"/>
          <w:szCs w:val="24"/>
        </w:rPr>
        <w:t xml:space="preserve">the difference between </w:t>
      </w:r>
      <w:r w:rsidR="00C03CFB">
        <w:rPr>
          <w:rFonts w:ascii="Times New Roman" w:hAnsi="Times New Roman" w:cs="Times New Roman"/>
          <w:sz w:val="24"/>
          <w:szCs w:val="24"/>
        </w:rPr>
        <w:t xml:space="preserve">a </w:t>
      </w:r>
      <w:r w:rsidRPr="003D4632">
        <w:rPr>
          <w:rFonts w:ascii="Times New Roman" w:hAnsi="Times New Roman" w:cs="Times New Roman"/>
          <w:sz w:val="24"/>
          <w:szCs w:val="24"/>
        </w:rPr>
        <w:t>minimum value and maximum value.</w:t>
      </w:r>
    </w:p>
    <w:p w14:paraId="01C0B1F9" w14:textId="77777777" w:rsidR="00B85385" w:rsidRPr="003D4632" w:rsidRDefault="00B85385" w:rsidP="00FB3FAC">
      <w:pPr>
        <w:spacing w:after="0" w:line="360" w:lineRule="auto"/>
        <w:jc w:val="both"/>
        <w:rPr>
          <w:rFonts w:ascii="Times New Roman" w:eastAsia="Times New Roman" w:hAnsi="Times New Roman" w:cs="Times New Roman"/>
          <w:sz w:val="24"/>
          <w:szCs w:val="24"/>
        </w:rPr>
      </w:pPr>
    </w:p>
    <w:p w14:paraId="4053F12F" w14:textId="218C5341" w:rsidR="00B85385" w:rsidRDefault="00701A4B" w:rsidP="00FB3FAC">
      <w:pPr>
        <w:spacing w:after="0" w:line="240" w:lineRule="auto"/>
        <w:jc w:val="both"/>
        <w:rPr>
          <w:rFonts w:ascii="Times New Roman" w:hAnsi="Times New Roman" w:cs="Times New Roman"/>
          <w:b/>
          <w:sz w:val="24"/>
          <w:szCs w:val="24"/>
        </w:rPr>
      </w:pPr>
      <w:r w:rsidRPr="003D4632">
        <w:rPr>
          <w:rFonts w:ascii="Times New Roman" w:hAnsi="Times New Roman" w:cs="Times New Roman"/>
          <w:b/>
          <w:sz w:val="24"/>
          <w:szCs w:val="24"/>
        </w:rPr>
        <w:t>Table 2: Correlation Matrix of the Variables</w:t>
      </w:r>
    </w:p>
    <w:tbl>
      <w:tblPr>
        <w:tblStyle w:val="LightShading"/>
        <w:tblW w:w="9072" w:type="dxa"/>
        <w:tblLayout w:type="fixed"/>
        <w:tblLook w:val="0000" w:firstRow="0" w:lastRow="0" w:firstColumn="0" w:lastColumn="0" w:noHBand="0" w:noVBand="0"/>
      </w:tblPr>
      <w:tblGrid>
        <w:gridCol w:w="1890"/>
        <w:gridCol w:w="2505"/>
        <w:gridCol w:w="2409"/>
        <w:gridCol w:w="2268"/>
      </w:tblGrid>
      <w:tr w:rsidR="00B85385" w:rsidRPr="00C262FE" w14:paraId="45C88BC7" w14:textId="77777777" w:rsidTr="00C262FE">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1890" w:type="dxa"/>
            <w:tcBorders>
              <w:bottom w:val="single" w:sz="4" w:space="0" w:color="auto"/>
            </w:tcBorders>
            <w:shd w:val="clear" w:color="auto" w:fill="auto"/>
            <w:vAlign w:val="bottom"/>
          </w:tcPr>
          <w:p w14:paraId="61544EB0" w14:textId="77777777" w:rsidR="00B85385" w:rsidRPr="00C262FE" w:rsidRDefault="00B85385" w:rsidP="00FB3FAC">
            <w:pPr>
              <w:autoSpaceDE w:val="0"/>
              <w:autoSpaceDN w:val="0"/>
              <w:adjustRightInd w:val="0"/>
              <w:spacing w:line="276" w:lineRule="auto"/>
              <w:jc w:val="center"/>
              <w:rPr>
                <w:rFonts w:ascii="Times New Roman" w:hAnsi="Times New Roman" w:cs="Times New Roman"/>
                <w:b/>
                <w:color w:val="000000"/>
                <w:sz w:val="24"/>
                <w:szCs w:val="24"/>
              </w:rPr>
            </w:pPr>
          </w:p>
        </w:tc>
        <w:tc>
          <w:tcPr>
            <w:tcW w:w="2505" w:type="dxa"/>
            <w:tcBorders>
              <w:bottom w:val="single" w:sz="4" w:space="0" w:color="auto"/>
            </w:tcBorders>
            <w:shd w:val="clear" w:color="auto" w:fill="auto"/>
            <w:vAlign w:val="bottom"/>
          </w:tcPr>
          <w:p w14:paraId="7A5BB0D1" w14:textId="14CC64AD" w:rsidR="00B85385" w:rsidRPr="00C262FE" w:rsidRDefault="00B8538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C262FE">
              <w:rPr>
                <w:rFonts w:ascii="Times New Roman" w:hAnsi="Times New Roman" w:cs="Times New Roman"/>
                <w:color w:val="000000"/>
                <w:sz w:val="24"/>
                <w:szCs w:val="24"/>
              </w:rPr>
              <w:t>NPL</w:t>
            </w:r>
          </w:p>
        </w:tc>
        <w:tc>
          <w:tcPr>
            <w:cnfStyle w:val="000010000000" w:firstRow="0" w:lastRow="0" w:firstColumn="0" w:lastColumn="0" w:oddVBand="1" w:evenVBand="0" w:oddHBand="0" w:evenHBand="0" w:firstRowFirstColumn="0" w:firstRowLastColumn="0" w:lastRowFirstColumn="0" w:lastRowLastColumn="0"/>
            <w:tcW w:w="2409" w:type="dxa"/>
            <w:tcBorders>
              <w:bottom w:val="single" w:sz="4" w:space="0" w:color="auto"/>
            </w:tcBorders>
            <w:shd w:val="clear" w:color="auto" w:fill="auto"/>
            <w:vAlign w:val="bottom"/>
          </w:tcPr>
          <w:p w14:paraId="2A9B3DEF" w14:textId="0D51E1BF" w:rsidR="00B85385" w:rsidRPr="00C262FE" w:rsidRDefault="00B85385" w:rsidP="00FB3FAC">
            <w:pPr>
              <w:autoSpaceDE w:val="0"/>
              <w:autoSpaceDN w:val="0"/>
              <w:adjustRightInd w:val="0"/>
              <w:spacing w:line="276" w:lineRule="auto"/>
              <w:jc w:val="center"/>
              <w:rPr>
                <w:rFonts w:ascii="Times New Roman" w:hAnsi="Times New Roman" w:cs="Times New Roman"/>
                <w:b/>
                <w:color w:val="000000"/>
                <w:sz w:val="24"/>
                <w:szCs w:val="24"/>
              </w:rPr>
            </w:pPr>
            <w:r w:rsidRPr="00C262FE">
              <w:rPr>
                <w:rFonts w:ascii="Times New Roman" w:hAnsi="Times New Roman" w:cs="Times New Roman"/>
                <w:color w:val="000000"/>
                <w:sz w:val="24"/>
                <w:szCs w:val="24"/>
              </w:rPr>
              <w:t>OWC</w:t>
            </w:r>
          </w:p>
        </w:tc>
        <w:tc>
          <w:tcPr>
            <w:tcW w:w="2268" w:type="dxa"/>
            <w:tcBorders>
              <w:bottom w:val="single" w:sz="4" w:space="0" w:color="auto"/>
            </w:tcBorders>
            <w:shd w:val="clear" w:color="auto" w:fill="auto"/>
            <w:vAlign w:val="bottom"/>
          </w:tcPr>
          <w:p w14:paraId="20A3C4FB" w14:textId="62DD502B" w:rsidR="00B85385" w:rsidRPr="00C262FE" w:rsidRDefault="00B8538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4"/>
                <w:szCs w:val="24"/>
              </w:rPr>
            </w:pPr>
            <w:r w:rsidRPr="00C262FE">
              <w:rPr>
                <w:rFonts w:ascii="Times New Roman" w:hAnsi="Times New Roman" w:cs="Times New Roman"/>
                <w:color w:val="000000"/>
                <w:sz w:val="24"/>
                <w:szCs w:val="24"/>
              </w:rPr>
              <w:t>BS</w:t>
            </w:r>
          </w:p>
        </w:tc>
      </w:tr>
      <w:tr w:rsidR="00B85385" w:rsidRPr="00C262FE" w14:paraId="2B3BB593" w14:textId="77777777" w:rsidTr="00C262FE">
        <w:trPr>
          <w:trHeight w:val="21"/>
        </w:trPr>
        <w:tc>
          <w:tcPr>
            <w:cnfStyle w:val="000010000000" w:firstRow="0" w:lastRow="0" w:firstColumn="0" w:lastColumn="0" w:oddVBand="1" w:evenVBand="0" w:oddHBand="0" w:evenHBand="0" w:firstRowFirstColumn="0" w:firstRowLastColumn="0" w:lastRowFirstColumn="0" w:lastRowLastColumn="0"/>
            <w:tcW w:w="1890" w:type="dxa"/>
            <w:tcBorders>
              <w:top w:val="single" w:sz="4" w:space="0" w:color="auto"/>
            </w:tcBorders>
            <w:shd w:val="clear" w:color="auto" w:fill="auto"/>
            <w:vAlign w:val="bottom"/>
          </w:tcPr>
          <w:p w14:paraId="39A72CC8" w14:textId="04F4FE8A" w:rsidR="00B85385" w:rsidRPr="00C262FE" w:rsidRDefault="00B85385" w:rsidP="00FB3FAC">
            <w:pPr>
              <w:autoSpaceDE w:val="0"/>
              <w:autoSpaceDN w:val="0"/>
              <w:adjustRightInd w:val="0"/>
              <w:spacing w:line="276" w:lineRule="auto"/>
              <w:rPr>
                <w:rFonts w:ascii="Times New Roman" w:hAnsi="Times New Roman" w:cs="Times New Roman"/>
                <w:b/>
                <w:color w:val="000000"/>
                <w:sz w:val="24"/>
                <w:szCs w:val="24"/>
              </w:rPr>
            </w:pPr>
            <w:r w:rsidRPr="00C262FE">
              <w:rPr>
                <w:rFonts w:ascii="Times New Roman" w:hAnsi="Times New Roman" w:cs="Times New Roman"/>
                <w:color w:val="000000"/>
                <w:sz w:val="24"/>
                <w:szCs w:val="24"/>
              </w:rPr>
              <w:t>NPL</w:t>
            </w:r>
          </w:p>
        </w:tc>
        <w:tc>
          <w:tcPr>
            <w:tcW w:w="2505" w:type="dxa"/>
            <w:tcBorders>
              <w:top w:val="single" w:sz="4" w:space="0" w:color="auto"/>
            </w:tcBorders>
            <w:shd w:val="clear" w:color="auto" w:fill="auto"/>
            <w:vAlign w:val="bottom"/>
          </w:tcPr>
          <w:p w14:paraId="5D6DC62D" w14:textId="2E6F75A9" w:rsidR="00B85385" w:rsidRPr="00C262FE" w:rsidRDefault="00B8538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C262FE">
              <w:rPr>
                <w:rFonts w:ascii="Times New Roman" w:hAnsi="Times New Roman" w:cs="Times New Roman"/>
                <w:color w:val="000000"/>
                <w:sz w:val="24"/>
                <w:szCs w:val="24"/>
              </w:rPr>
              <w:t> 1.000000</w:t>
            </w:r>
          </w:p>
        </w:tc>
        <w:tc>
          <w:tcPr>
            <w:cnfStyle w:val="000010000000" w:firstRow="0" w:lastRow="0" w:firstColumn="0" w:lastColumn="0" w:oddVBand="1" w:evenVBand="0" w:oddHBand="0" w:evenHBand="0" w:firstRowFirstColumn="0" w:firstRowLastColumn="0" w:lastRowFirstColumn="0" w:lastRowLastColumn="0"/>
            <w:tcW w:w="2409" w:type="dxa"/>
            <w:tcBorders>
              <w:top w:val="single" w:sz="4" w:space="0" w:color="auto"/>
            </w:tcBorders>
            <w:shd w:val="clear" w:color="auto" w:fill="auto"/>
            <w:vAlign w:val="bottom"/>
          </w:tcPr>
          <w:p w14:paraId="57589E2A" w14:textId="27D47B87" w:rsidR="00B85385" w:rsidRPr="00C262FE" w:rsidRDefault="00B85385" w:rsidP="00FB3FAC">
            <w:pPr>
              <w:autoSpaceDE w:val="0"/>
              <w:autoSpaceDN w:val="0"/>
              <w:adjustRightInd w:val="0"/>
              <w:spacing w:line="276" w:lineRule="auto"/>
              <w:jc w:val="center"/>
              <w:rPr>
                <w:rFonts w:ascii="Times New Roman" w:hAnsi="Times New Roman" w:cs="Times New Roman"/>
                <w:b/>
                <w:color w:val="000000"/>
                <w:sz w:val="24"/>
                <w:szCs w:val="24"/>
              </w:rPr>
            </w:pPr>
            <w:r w:rsidRPr="00C262FE">
              <w:rPr>
                <w:rFonts w:ascii="Times New Roman" w:hAnsi="Times New Roman" w:cs="Times New Roman"/>
                <w:color w:val="000000"/>
                <w:sz w:val="24"/>
                <w:szCs w:val="24"/>
              </w:rPr>
              <w:t>-0.077812</w:t>
            </w:r>
          </w:p>
        </w:tc>
        <w:tc>
          <w:tcPr>
            <w:tcW w:w="2268" w:type="dxa"/>
            <w:tcBorders>
              <w:top w:val="single" w:sz="4" w:space="0" w:color="auto"/>
            </w:tcBorders>
            <w:shd w:val="clear" w:color="auto" w:fill="auto"/>
            <w:vAlign w:val="bottom"/>
          </w:tcPr>
          <w:p w14:paraId="7DB887B9" w14:textId="482D8E04" w:rsidR="00B85385" w:rsidRPr="00C262FE" w:rsidRDefault="00B8538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4"/>
                <w:szCs w:val="24"/>
              </w:rPr>
            </w:pPr>
            <w:r w:rsidRPr="00C262FE">
              <w:rPr>
                <w:rFonts w:ascii="Times New Roman" w:hAnsi="Times New Roman" w:cs="Times New Roman"/>
                <w:color w:val="000000"/>
                <w:sz w:val="24"/>
                <w:szCs w:val="24"/>
              </w:rPr>
              <w:t> 0.071117</w:t>
            </w:r>
          </w:p>
        </w:tc>
      </w:tr>
      <w:tr w:rsidR="00B85385" w:rsidRPr="00C262FE" w14:paraId="77D4FE1A" w14:textId="77777777" w:rsidTr="00C262FE">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2CB19B80" w14:textId="2DAD13A9" w:rsidR="00B85385" w:rsidRPr="00C262FE" w:rsidRDefault="00B85385" w:rsidP="00FB3FAC">
            <w:pPr>
              <w:autoSpaceDE w:val="0"/>
              <w:autoSpaceDN w:val="0"/>
              <w:adjustRightInd w:val="0"/>
              <w:spacing w:line="276" w:lineRule="auto"/>
              <w:rPr>
                <w:rFonts w:ascii="Times New Roman" w:hAnsi="Times New Roman" w:cs="Times New Roman"/>
                <w:color w:val="000000"/>
                <w:sz w:val="24"/>
                <w:szCs w:val="24"/>
              </w:rPr>
            </w:pPr>
            <w:r w:rsidRPr="00C262FE">
              <w:rPr>
                <w:rFonts w:ascii="Times New Roman" w:hAnsi="Times New Roman" w:cs="Times New Roman"/>
                <w:color w:val="000000"/>
                <w:sz w:val="24"/>
                <w:szCs w:val="24"/>
              </w:rPr>
              <w:t>OWC</w:t>
            </w:r>
          </w:p>
        </w:tc>
        <w:tc>
          <w:tcPr>
            <w:tcW w:w="2505" w:type="dxa"/>
            <w:shd w:val="clear" w:color="auto" w:fill="auto"/>
            <w:vAlign w:val="bottom"/>
          </w:tcPr>
          <w:p w14:paraId="34A741D6" w14:textId="723FA278" w:rsidR="00B85385" w:rsidRPr="00C262FE" w:rsidRDefault="00B8538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62FE">
              <w:rPr>
                <w:rFonts w:ascii="Times New Roman" w:hAnsi="Times New Roman" w:cs="Times New Roman"/>
                <w:color w:val="000000"/>
                <w:sz w:val="24"/>
                <w:szCs w:val="24"/>
              </w:rPr>
              <w:t>-0.077812</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auto"/>
            <w:vAlign w:val="bottom"/>
          </w:tcPr>
          <w:p w14:paraId="0F957B66" w14:textId="18142954" w:rsidR="00B85385" w:rsidRPr="00C262FE" w:rsidRDefault="00B85385" w:rsidP="00FB3FAC">
            <w:pPr>
              <w:autoSpaceDE w:val="0"/>
              <w:autoSpaceDN w:val="0"/>
              <w:adjustRightInd w:val="0"/>
              <w:spacing w:line="276" w:lineRule="auto"/>
              <w:jc w:val="center"/>
              <w:rPr>
                <w:rFonts w:ascii="Times New Roman" w:hAnsi="Times New Roman" w:cs="Times New Roman"/>
                <w:color w:val="000000"/>
                <w:sz w:val="24"/>
                <w:szCs w:val="24"/>
              </w:rPr>
            </w:pPr>
            <w:r w:rsidRPr="00C262FE">
              <w:rPr>
                <w:rFonts w:ascii="Times New Roman" w:hAnsi="Times New Roman" w:cs="Times New Roman"/>
                <w:color w:val="000000"/>
                <w:sz w:val="24"/>
                <w:szCs w:val="24"/>
              </w:rPr>
              <w:t> 1.000000</w:t>
            </w:r>
          </w:p>
        </w:tc>
        <w:tc>
          <w:tcPr>
            <w:tcW w:w="2268" w:type="dxa"/>
            <w:shd w:val="clear" w:color="auto" w:fill="auto"/>
            <w:vAlign w:val="bottom"/>
          </w:tcPr>
          <w:p w14:paraId="74ABA48F" w14:textId="17FAD94C" w:rsidR="00B85385" w:rsidRPr="00C262FE" w:rsidRDefault="00B85385" w:rsidP="00FB3FAC">
            <w:pPr>
              <w:autoSpaceDE w:val="0"/>
              <w:autoSpaceDN w:val="0"/>
              <w:adjustRightInd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C262FE">
              <w:rPr>
                <w:rFonts w:ascii="Times New Roman" w:hAnsi="Times New Roman" w:cs="Times New Roman"/>
                <w:color w:val="000000"/>
                <w:sz w:val="24"/>
                <w:szCs w:val="24"/>
              </w:rPr>
              <w:t> 0.608606</w:t>
            </w:r>
          </w:p>
        </w:tc>
      </w:tr>
      <w:tr w:rsidR="00B85385" w:rsidRPr="00C262FE" w14:paraId="5D00A1CF" w14:textId="77777777" w:rsidTr="00C262FE">
        <w:trPr>
          <w:trHeight w:val="225"/>
        </w:trPr>
        <w:tc>
          <w:tcPr>
            <w:cnfStyle w:val="000010000000" w:firstRow="0" w:lastRow="0" w:firstColumn="0" w:lastColumn="0" w:oddVBand="1" w:evenVBand="0" w:oddHBand="0" w:evenHBand="0" w:firstRowFirstColumn="0" w:firstRowLastColumn="0" w:lastRowFirstColumn="0" w:lastRowLastColumn="0"/>
            <w:tcW w:w="1890" w:type="dxa"/>
            <w:shd w:val="clear" w:color="auto" w:fill="auto"/>
            <w:vAlign w:val="bottom"/>
          </w:tcPr>
          <w:p w14:paraId="41252AE6" w14:textId="766ED69D" w:rsidR="00B85385" w:rsidRPr="00C262FE" w:rsidRDefault="00B85385" w:rsidP="00FB3FAC">
            <w:pPr>
              <w:autoSpaceDE w:val="0"/>
              <w:autoSpaceDN w:val="0"/>
              <w:adjustRightInd w:val="0"/>
              <w:spacing w:line="276" w:lineRule="auto"/>
              <w:rPr>
                <w:rFonts w:ascii="Times New Roman" w:hAnsi="Times New Roman" w:cs="Times New Roman"/>
                <w:color w:val="000000"/>
                <w:sz w:val="24"/>
                <w:szCs w:val="24"/>
              </w:rPr>
            </w:pPr>
            <w:r w:rsidRPr="00C262FE">
              <w:rPr>
                <w:rFonts w:ascii="Times New Roman" w:hAnsi="Times New Roman" w:cs="Times New Roman"/>
                <w:color w:val="000000"/>
                <w:sz w:val="24"/>
                <w:szCs w:val="24"/>
              </w:rPr>
              <w:t>BS</w:t>
            </w:r>
          </w:p>
        </w:tc>
        <w:tc>
          <w:tcPr>
            <w:tcW w:w="2505" w:type="dxa"/>
            <w:shd w:val="clear" w:color="auto" w:fill="auto"/>
            <w:vAlign w:val="bottom"/>
          </w:tcPr>
          <w:p w14:paraId="49EB9258" w14:textId="5DB3EEFA" w:rsidR="00B85385" w:rsidRPr="00C262FE" w:rsidRDefault="00B8538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62FE">
              <w:rPr>
                <w:rFonts w:ascii="Times New Roman" w:hAnsi="Times New Roman" w:cs="Times New Roman"/>
                <w:color w:val="000000"/>
                <w:sz w:val="24"/>
                <w:szCs w:val="24"/>
              </w:rPr>
              <w:t> 0.071117</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auto"/>
            <w:vAlign w:val="bottom"/>
          </w:tcPr>
          <w:p w14:paraId="6D5A1D2C" w14:textId="73A18104" w:rsidR="00B85385" w:rsidRPr="00C262FE" w:rsidRDefault="00B85385" w:rsidP="00FB3FAC">
            <w:pPr>
              <w:autoSpaceDE w:val="0"/>
              <w:autoSpaceDN w:val="0"/>
              <w:adjustRightInd w:val="0"/>
              <w:spacing w:line="276" w:lineRule="auto"/>
              <w:jc w:val="center"/>
              <w:rPr>
                <w:rFonts w:ascii="Times New Roman" w:hAnsi="Times New Roman" w:cs="Times New Roman"/>
                <w:color w:val="000000"/>
                <w:sz w:val="24"/>
                <w:szCs w:val="24"/>
              </w:rPr>
            </w:pPr>
            <w:r w:rsidRPr="00C262FE">
              <w:rPr>
                <w:rFonts w:ascii="Times New Roman" w:hAnsi="Times New Roman" w:cs="Times New Roman"/>
                <w:color w:val="000000"/>
                <w:sz w:val="24"/>
                <w:szCs w:val="24"/>
              </w:rPr>
              <w:t> 0.608606</w:t>
            </w:r>
          </w:p>
        </w:tc>
        <w:tc>
          <w:tcPr>
            <w:tcW w:w="2268" w:type="dxa"/>
            <w:shd w:val="clear" w:color="auto" w:fill="auto"/>
            <w:vAlign w:val="bottom"/>
          </w:tcPr>
          <w:p w14:paraId="351E0DB5" w14:textId="357C635F" w:rsidR="00B85385" w:rsidRPr="00C262FE" w:rsidRDefault="00B85385" w:rsidP="00FB3FAC">
            <w:pPr>
              <w:autoSpaceDE w:val="0"/>
              <w:autoSpaceDN w:val="0"/>
              <w:adjustRightInd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sidRPr="00C262FE">
              <w:rPr>
                <w:rFonts w:ascii="Times New Roman" w:hAnsi="Times New Roman" w:cs="Times New Roman"/>
                <w:color w:val="000000"/>
                <w:sz w:val="24"/>
                <w:szCs w:val="24"/>
              </w:rPr>
              <w:t> 1.000000</w:t>
            </w:r>
          </w:p>
        </w:tc>
      </w:tr>
    </w:tbl>
    <w:p w14:paraId="73541ED9" w14:textId="16A0B9B3" w:rsidR="00701A4B" w:rsidRPr="00B85385" w:rsidRDefault="00701A4B" w:rsidP="00FB3FAC">
      <w:pPr>
        <w:spacing w:after="0"/>
        <w:rPr>
          <w:rFonts w:ascii="Times New Roman" w:hAnsi="Times New Roman" w:cs="Times New Roman"/>
          <w:i/>
          <w:sz w:val="24"/>
          <w:szCs w:val="24"/>
        </w:rPr>
      </w:pPr>
      <w:r w:rsidRPr="00B85385">
        <w:rPr>
          <w:rFonts w:ascii="Times New Roman" w:hAnsi="Times New Roman" w:cs="Times New Roman"/>
          <w:b/>
          <w:i/>
          <w:sz w:val="24"/>
          <w:szCs w:val="24"/>
        </w:rPr>
        <w:t>Source:</w:t>
      </w:r>
      <w:r w:rsidRPr="00B85385">
        <w:rPr>
          <w:rFonts w:ascii="Times New Roman" w:hAnsi="Times New Roman" w:cs="Times New Roman"/>
          <w:i/>
          <w:sz w:val="24"/>
          <w:szCs w:val="24"/>
        </w:rPr>
        <w:t xml:space="preserve"> E-view</w:t>
      </w:r>
      <w:r w:rsidR="00B85385">
        <w:rPr>
          <w:rFonts w:ascii="Times New Roman" w:hAnsi="Times New Roman" w:cs="Times New Roman"/>
          <w:i/>
          <w:sz w:val="24"/>
          <w:szCs w:val="24"/>
        </w:rPr>
        <w:t xml:space="preserve"> </w:t>
      </w:r>
      <w:proofErr w:type="spellStart"/>
      <w:r w:rsidR="00B85385">
        <w:rPr>
          <w:rFonts w:ascii="Times New Roman" w:hAnsi="Times New Roman" w:cs="Times New Roman"/>
          <w:i/>
          <w:sz w:val="24"/>
          <w:szCs w:val="24"/>
        </w:rPr>
        <w:t>Ouput</w:t>
      </w:r>
      <w:proofErr w:type="spellEnd"/>
      <w:r w:rsidR="00B85385">
        <w:rPr>
          <w:rFonts w:ascii="Times New Roman" w:hAnsi="Times New Roman" w:cs="Times New Roman"/>
          <w:i/>
          <w:sz w:val="24"/>
          <w:szCs w:val="24"/>
        </w:rPr>
        <w:t>, V</w:t>
      </w:r>
      <w:r w:rsidRPr="00B85385">
        <w:rPr>
          <w:rFonts w:ascii="Times New Roman" w:hAnsi="Times New Roman" w:cs="Times New Roman"/>
          <w:i/>
          <w:sz w:val="24"/>
          <w:szCs w:val="24"/>
        </w:rPr>
        <w:t>ersion 9.00</w:t>
      </w:r>
    </w:p>
    <w:p w14:paraId="09C85C71" w14:textId="77777777" w:rsidR="00D70EB4" w:rsidRDefault="00D70EB4" w:rsidP="00FB3FAC">
      <w:pPr>
        <w:spacing w:after="0" w:line="360" w:lineRule="auto"/>
        <w:jc w:val="both"/>
        <w:rPr>
          <w:rFonts w:ascii="Times New Roman" w:hAnsi="Times New Roman" w:cs="Times New Roman"/>
          <w:bCs/>
          <w:iCs/>
          <w:sz w:val="24"/>
          <w:szCs w:val="24"/>
        </w:rPr>
      </w:pPr>
    </w:p>
    <w:p w14:paraId="7D3067BC" w14:textId="2FD49798" w:rsidR="00701A4B" w:rsidRPr="003D4632" w:rsidRDefault="00701A4B" w:rsidP="00FB3FAC">
      <w:pPr>
        <w:spacing w:after="0" w:line="360" w:lineRule="auto"/>
        <w:jc w:val="both"/>
        <w:rPr>
          <w:rFonts w:ascii="Times New Roman" w:hAnsi="Times New Roman" w:cs="Times New Roman"/>
          <w:bCs/>
          <w:iCs/>
          <w:sz w:val="24"/>
          <w:szCs w:val="24"/>
        </w:rPr>
      </w:pPr>
      <w:r w:rsidRPr="003D4632">
        <w:rPr>
          <w:rFonts w:ascii="Times New Roman" w:hAnsi="Times New Roman" w:cs="Times New Roman"/>
          <w:bCs/>
          <w:iCs/>
          <w:sz w:val="24"/>
          <w:szCs w:val="24"/>
        </w:rPr>
        <w:t xml:space="preserve">Table 2 indicates that there is a negative/positive association between the dependent variable and independent variables in the study. This implies that there is </w:t>
      </w:r>
      <w:r w:rsidR="00C03CFB">
        <w:rPr>
          <w:rFonts w:ascii="Times New Roman" w:hAnsi="Times New Roman" w:cs="Times New Roman"/>
          <w:bCs/>
          <w:iCs/>
          <w:sz w:val="24"/>
          <w:szCs w:val="24"/>
        </w:rPr>
        <w:t xml:space="preserve">a </w:t>
      </w:r>
      <w:r w:rsidRPr="003D4632">
        <w:rPr>
          <w:rFonts w:ascii="Times New Roman" w:hAnsi="Times New Roman" w:cs="Times New Roman"/>
          <w:bCs/>
          <w:iCs/>
          <w:sz w:val="24"/>
          <w:szCs w:val="24"/>
        </w:rPr>
        <w:t xml:space="preserve">weak </w:t>
      </w:r>
      <w:r w:rsidR="00EE65D6" w:rsidRPr="003D4632">
        <w:rPr>
          <w:rFonts w:ascii="Times New Roman" w:hAnsi="Times New Roman" w:cs="Times New Roman"/>
          <w:bCs/>
          <w:iCs/>
          <w:sz w:val="24"/>
          <w:szCs w:val="24"/>
        </w:rPr>
        <w:t xml:space="preserve">negative </w:t>
      </w:r>
      <w:r w:rsidRPr="003D4632">
        <w:rPr>
          <w:rFonts w:ascii="Times New Roman" w:hAnsi="Times New Roman" w:cs="Times New Roman"/>
          <w:bCs/>
          <w:iCs/>
          <w:sz w:val="24"/>
          <w:szCs w:val="24"/>
        </w:rPr>
        <w:t xml:space="preserve">association between </w:t>
      </w:r>
      <w:r w:rsidR="00C03CFB">
        <w:rPr>
          <w:rFonts w:ascii="Times New Roman" w:hAnsi="Times New Roman" w:cs="Times New Roman"/>
          <w:bCs/>
          <w:iCs/>
          <w:sz w:val="24"/>
          <w:szCs w:val="24"/>
        </w:rPr>
        <w:t xml:space="preserve">the </w:t>
      </w:r>
      <w:r w:rsidR="00F50E76" w:rsidRPr="003D4632">
        <w:rPr>
          <w:rFonts w:ascii="Times New Roman" w:hAnsi="Times New Roman" w:cs="Times New Roman"/>
          <w:bCs/>
          <w:iCs/>
          <w:sz w:val="24"/>
          <w:szCs w:val="24"/>
        </w:rPr>
        <w:t>non-performing</w:t>
      </w:r>
      <w:r w:rsidR="00EE65D6" w:rsidRPr="003D4632">
        <w:rPr>
          <w:rFonts w:ascii="Times New Roman" w:hAnsi="Times New Roman" w:cs="Times New Roman"/>
          <w:bCs/>
          <w:iCs/>
          <w:sz w:val="24"/>
          <w:szCs w:val="24"/>
        </w:rPr>
        <w:t xml:space="preserve"> loan ratio </w:t>
      </w:r>
      <w:r w:rsidRPr="003D4632">
        <w:rPr>
          <w:rFonts w:ascii="Times New Roman" w:hAnsi="Times New Roman" w:cs="Times New Roman"/>
          <w:bCs/>
          <w:iCs/>
          <w:sz w:val="24"/>
          <w:szCs w:val="24"/>
        </w:rPr>
        <w:t>and</w:t>
      </w:r>
      <w:r w:rsidR="00EE65D6" w:rsidRPr="003D4632">
        <w:rPr>
          <w:rFonts w:ascii="Times New Roman" w:hAnsi="Times New Roman" w:cs="Times New Roman"/>
          <w:bCs/>
          <w:iCs/>
          <w:sz w:val="24"/>
          <w:szCs w:val="24"/>
        </w:rPr>
        <w:t xml:space="preserve"> ownership concentration in deposit money banks in Nigeria</w:t>
      </w:r>
      <w:r w:rsidRPr="003D4632">
        <w:rPr>
          <w:rFonts w:ascii="Times New Roman" w:hAnsi="Times New Roman" w:cs="Times New Roman"/>
          <w:bCs/>
          <w:iCs/>
          <w:sz w:val="24"/>
          <w:szCs w:val="24"/>
        </w:rPr>
        <w:t xml:space="preserve">. Also, there is </w:t>
      </w:r>
      <w:r w:rsidR="00C03CFB">
        <w:rPr>
          <w:rFonts w:ascii="Times New Roman" w:hAnsi="Times New Roman" w:cs="Times New Roman"/>
          <w:bCs/>
          <w:iCs/>
          <w:sz w:val="24"/>
          <w:szCs w:val="24"/>
        </w:rPr>
        <w:t xml:space="preserve">a </w:t>
      </w:r>
      <w:r w:rsidRPr="003D4632">
        <w:rPr>
          <w:rFonts w:ascii="Times New Roman" w:hAnsi="Times New Roman" w:cs="Times New Roman"/>
          <w:bCs/>
          <w:iCs/>
          <w:sz w:val="24"/>
          <w:szCs w:val="24"/>
        </w:rPr>
        <w:t xml:space="preserve">weak </w:t>
      </w:r>
      <w:r w:rsidR="00EE65D6" w:rsidRPr="003D4632">
        <w:rPr>
          <w:rFonts w:ascii="Times New Roman" w:hAnsi="Times New Roman" w:cs="Times New Roman"/>
          <w:bCs/>
          <w:iCs/>
          <w:sz w:val="24"/>
          <w:szCs w:val="24"/>
        </w:rPr>
        <w:t xml:space="preserve">positive </w:t>
      </w:r>
      <w:r w:rsidRPr="003D4632">
        <w:rPr>
          <w:rFonts w:ascii="Times New Roman" w:hAnsi="Times New Roman" w:cs="Times New Roman"/>
          <w:bCs/>
          <w:iCs/>
          <w:sz w:val="24"/>
          <w:szCs w:val="24"/>
        </w:rPr>
        <w:t xml:space="preserve">association between </w:t>
      </w:r>
      <w:r w:rsidR="00C03CFB">
        <w:rPr>
          <w:rFonts w:ascii="Times New Roman" w:hAnsi="Times New Roman" w:cs="Times New Roman"/>
          <w:bCs/>
          <w:iCs/>
          <w:sz w:val="24"/>
          <w:szCs w:val="24"/>
        </w:rPr>
        <w:t xml:space="preserve">the </w:t>
      </w:r>
      <w:r w:rsidR="00F50E76" w:rsidRPr="003D4632">
        <w:rPr>
          <w:rFonts w:ascii="Times New Roman" w:hAnsi="Times New Roman" w:cs="Times New Roman"/>
          <w:bCs/>
          <w:iCs/>
          <w:sz w:val="24"/>
          <w:szCs w:val="24"/>
        </w:rPr>
        <w:t>non-performing</w:t>
      </w:r>
      <w:r w:rsidR="00EE65D6" w:rsidRPr="003D4632">
        <w:rPr>
          <w:rFonts w:ascii="Times New Roman" w:hAnsi="Times New Roman" w:cs="Times New Roman"/>
          <w:bCs/>
          <w:iCs/>
          <w:sz w:val="24"/>
          <w:szCs w:val="24"/>
        </w:rPr>
        <w:t xml:space="preserve"> loan ratio </w:t>
      </w:r>
      <w:r w:rsidRPr="003D4632">
        <w:rPr>
          <w:rFonts w:ascii="Times New Roman" w:hAnsi="Times New Roman" w:cs="Times New Roman"/>
          <w:bCs/>
          <w:iCs/>
          <w:sz w:val="24"/>
          <w:szCs w:val="24"/>
        </w:rPr>
        <w:t xml:space="preserve">and </w:t>
      </w:r>
      <w:r w:rsidR="00EE65D6" w:rsidRPr="003D4632">
        <w:rPr>
          <w:rFonts w:ascii="Times New Roman" w:hAnsi="Times New Roman" w:cs="Times New Roman"/>
          <w:bCs/>
          <w:iCs/>
          <w:sz w:val="24"/>
          <w:szCs w:val="24"/>
        </w:rPr>
        <w:t>bank size in deposit money banks in Nigeria</w:t>
      </w:r>
      <w:r w:rsidRPr="003D4632">
        <w:rPr>
          <w:rFonts w:ascii="Times New Roman" w:hAnsi="Times New Roman" w:cs="Times New Roman"/>
          <w:bCs/>
          <w:iCs/>
          <w:sz w:val="24"/>
          <w:szCs w:val="24"/>
        </w:rPr>
        <w:t>. There is no strong correlation between the variables and then there is no problem of multico</w:t>
      </w:r>
      <w:r w:rsidR="00092F22">
        <w:rPr>
          <w:rFonts w:ascii="Times New Roman" w:hAnsi="Times New Roman" w:cs="Times New Roman"/>
          <w:bCs/>
          <w:iCs/>
          <w:sz w:val="24"/>
          <w:szCs w:val="24"/>
        </w:rPr>
        <w:t>l</w:t>
      </w:r>
      <w:r w:rsidRPr="003D4632">
        <w:rPr>
          <w:rFonts w:ascii="Times New Roman" w:hAnsi="Times New Roman" w:cs="Times New Roman"/>
          <w:bCs/>
          <w:iCs/>
          <w:sz w:val="24"/>
          <w:szCs w:val="24"/>
        </w:rPr>
        <w:t>l</w:t>
      </w:r>
      <w:r w:rsidR="00092F22">
        <w:rPr>
          <w:rFonts w:ascii="Times New Roman" w:hAnsi="Times New Roman" w:cs="Times New Roman"/>
          <w:bCs/>
          <w:iCs/>
          <w:sz w:val="24"/>
          <w:szCs w:val="24"/>
        </w:rPr>
        <w:t>i</w:t>
      </w:r>
      <w:r w:rsidRPr="003D4632">
        <w:rPr>
          <w:rFonts w:ascii="Times New Roman" w:hAnsi="Times New Roman" w:cs="Times New Roman"/>
          <w:bCs/>
          <w:iCs/>
          <w:sz w:val="24"/>
          <w:szCs w:val="24"/>
        </w:rPr>
        <w:t>n</w:t>
      </w:r>
      <w:r w:rsidR="00092F22">
        <w:rPr>
          <w:rFonts w:ascii="Times New Roman" w:hAnsi="Times New Roman" w:cs="Times New Roman"/>
          <w:bCs/>
          <w:iCs/>
          <w:sz w:val="24"/>
          <w:szCs w:val="24"/>
        </w:rPr>
        <w:t>e</w:t>
      </w:r>
      <w:r w:rsidRPr="003D4632">
        <w:rPr>
          <w:rFonts w:ascii="Times New Roman" w:hAnsi="Times New Roman" w:cs="Times New Roman"/>
          <w:bCs/>
          <w:iCs/>
          <w:sz w:val="24"/>
          <w:szCs w:val="24"/>
        </w:rPr>
        <w:t xml:space="preserve">arity. </w:t>
      </w:r>
    </w:p>
    <w:p w14:paraId="36F7751B" w14:textId="77777777" w:rsidR="00426A71" w:rsidRDefault="00426A71" w:rsidP="00FB3FAC">
      <w:pPr>
        <w:autoSpaceDE w:val="0"/>
        <w:autoSpaceDN w:val="0"/>
        <w:adjustRightInd w:val="0"/>
        <w:spacing w:after="0" w:line="240" w:lineRule="auto"/>
        <w:rPr>
          <w:rFonts w:ascii="Times New Roman" w:hAnsi="Times New Roman"/>
          <w:b/>
          <w:color w:val="000000"/>
          <w:sz w:val="24"/>
          <w:szCs w:val="24"/>
        </w:rPr>
      </w:pPr>
    </w:p>
    <w:p w14:paraId="3352C4D6" w14:textId="6450986C" w:rsidR="00805111" w:rsidRPr="008E0629" w:rsidRDefault="00701A4B" w:rsidP="00FB3FAC">
      <w:pPr>
        <w:autoSpaceDE w:val="0"/>
        <w:autoSpaceDN w:val="0"/>
        <w:adjustRightInd w:val="0"/>
        <w:spacing w:after="0" w:line="240" w:lineRule="auto"/>
        <w:rPr>
          <w:rFonts w:ascii="Times New Roman" w:hAnsi="Times New Roman"/>
          <w:b/>
          <w:color w:val="000000"/>
          <w:sz w:val="24"/>
          <w:szCs w:val="24"/>
        </w:rPr>
      </w:pPr>
      <w:r w:rsidRPr="00D3775C">
        <w:rPr>
          <w:rFonts w:ascii="Times New Roman" w:hAnsi="Times New Roman"/>
          <w:b/>
          <w:color w:val="000000"/>
          <w:sz w:val="24"/>
          <w:szCs w:val="24"/>
        </w:rPr>
        <w:t>T</w:t>
      </w:r>
      <w:r>
        <w:rPr>
          <w:rFonts w:ascii="Times New Roman" w:hAnsi="Times New Roman"/>
          <w:b/>
          <w:color w:val="000000"/>
          <w:sz w:val="24"/>
          <w:szCs w:val="24"/>
        </w:rPr>
        <w:t>able 3</w:t>
      </w:r>
      <w:r w:rsidRPr="00D3775C">
        <w:rPr>
          <w:rFonts w:ascii="Times New Roman" w:hAnsi="Times New Roman"/>
          <w:b/>
          <w:color w:val="000000"/>
          <w:sz w:val="24"/>
          <w:szCs w:val="24"/>
        </w:rPr>
        <w:t>: Hausman Test</w:t>
      </w:r>
    </w:p>
    <w:tbl>
      <w:tblPr>
        <w:tblStyle w:val="LightShading"/>
        <w:tblW w:w="0" w:type="auto"/>
        <w:tblLayout w:type="fixed"/>
        <w:tblLook w:val="0000" w:firstRow="0" w:lastRow="0" w:firstColumn="0" w:lastColumn="0" w:noHBand="0" w:noVBand="0"/>
      </w:tblPr>
      <w:tblGrid>
        <w:gridCol w:w="3686"/>
        <w:gridCol w:w="2126"/>
        <w:gridCol w:w="1701"/>
        <w:gridCol w:w="1418"/>
      </w:tblGrid>
      <w:tr w:rsidR="008E0629" w:rsidRPr="008E0629" w14:paraId="088F5D95" w14:textId="77777777" w:rsidTr="008E0629">
        <w:trPr>
          <w:cnfStyle w:val="000000100000" w:firstRow="0" w:lastRow="0" w:firstColumn="0" w:lastColumn="0" w:oddVBand="0" w:evenVBand="0" w:oddHBand="1" w:evenHBand="0" w:firstRowFirstColumn="0" w:firstRowLastColumn="0" w:lastRowFirstColumn="0" w:lastRowLastColumn="0"/>
          <w:trHeight w:val="395"/>
        </w:trPr>
        <w:tc>
          <w:tcPr>
            <w:cnfStyle w:val="000010000000" w:firstRow="0" w:lastRow="0" w:firstColumn="0" w:lastColumn="0" w:oddVBand="1" w:evenVBand="0" w:oddHBand="0" w:evenHBand="0" w:firstRowFirstColumn="0" w:firstRowLastColumn="0" w:lastRowFirstColumn="0" w:lastRowLastColumn="0"/>
            <w:tcW w:w="3686" w:type="dxa"/>
            <w:tcBorders>
              <w:bottom w:val="single" w:sz="4" w:space="0" w:color="auto"/>
            </w:tcBorders>
            <w:shd w:val="clear" w:color="auto" w:fill="auto"/>
            <w:vAlign w:val="bottom"/>
          </w:tcPr>
          <w:p w14:paraId="70FCCE73" w14:textId="1D6969D9" w:rsidR="008E0629" w:rsidRPr="008E0629" w:rsidRDefault="008E0629" w:rsidP="00FB3FAC">
            <w:pPr>
              <w:ind w:left="60" w:right="60"/>
              <w:jc w:val="center"/>
              <w:rPr>
                <w:rFonts w:ascii="Times New Roman" w:hAnsi="Times New Roman" w:cs="Times New Roman"/>
                <w:b/>
                <w:sz w:val="24"/>
                <w:szCs w:val="24"/>
              </w:rPr>
            </w:pPr>
            <w:r w:rsidRPr="008E0629">
              <w:rPr>
                <w:rFonts w:ascii="Times New Roman" w:hAnsi="Times New Roman" w:cs="Times New Roman"/>
                <w:b/>
                <w:color w:val="000000"/>
                <w:sz w:val="24"/>
                <w:szCs w:val="24"/>
              </w:rPr>
              <w:t>Test Summary</w:t>
            </w:r>
          </w:p>
        </w:tc>
        <w:tc>
          <w:tcPr>
            <w:tcW w:w="2126" w:type="dxa"/>
            <w:tcBorders>
              <w:bottom w:val="single" w:sz="4" w:space="0" w:color="auto"/>
            </w:tcBorders>
            <w:shd w:val="clear" w:color="auto" w:fill="auto"/>
            <w:vAlign w:val="bottom"/>
          </w:tcPr>
          <w:p w14:paraId="2D88F8CE" w14:textId="73ED3C8C" w:rsidR="008E0629" w:rsidRPr="008E0629" w:rsidRDefault="008E0629" w:rsidP="00FB3FAC">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E0629">
              <w:rPr>
                <w:rFonts w:ascii="Times New Roman" w:hAnsi="Times New Roman" w:cs="Times New Roman"/>
                <w:b/>
                <w:color w:val="000000"/>
                <w:sz w:val="24"/>
                <w:szCs w:val="24"/>
              </w:rPr>
              <w:t>Chi-Sq. Statistic</w:t>
            </w:r>
          </w:p>
        </w:tc>
        <w:tc>
          <w:tcPr>
            <w:cnfStyle w:val="000010000000" w:firstRow="0" w:lastRow="0" w:firstColumn="0" w:lastColumn="0" w:oddVBand="1" w:evenVBand="0" w:oddHBand="0" w:evenHBand="0" w:firstRowFirstColumn="0" w:firstRowLastColumn="0" w:lastRowFirstColumn="0" w:lastRowLastColumn="0"/>
            <w:tcW w:w="1701" w:type="dxa"/>
            <w:tcBorders>
              <w:bottom w:val="single" w:sz="4" w:space="0" w:color="auto"/>
            </w:tcBorders>
            <w:shd w:val="clear" w:color="auto" w:fill="auto"/>
            <w:vAlign w:val="bottom"/>
          </w:tcPr>
          <w:p w14:paraId="7ABDC761" w14:textId="6E7916BB" w:rsidR="008E0629" w:rsidRPr="008E0629" w:rsidRDefault="008E0629" w:rsidP="00FB3FAC">
            <w:pPr>
              <w:ind w:left="60" w:right="60"/>
              <w:jc w:val="center"/>
              <w:rPr>
                <w:rFonts w:ascii="Times New Roman" w:hAnsi="Times New Roman" w:cs="Times New Roman"/>
                <w:b/>
                <w:sz w:val="24"/>
                <w:szCs w:val="24"/>
              </w:rPr>
            </w:pPr>
            <w:r w:rsidRPr="008E0629">
              <w:rPr>
                <w:rFonts w:ascii="Times New Roman" w:hAnsi="Times New Roman" w:cs="Times New Roman"/>
                <w:b/>
                <w:color w:val="000000"/>
                <w:sz w:val="24"/>
                <w:szCs w:val="24"/>
              </w:rPr>
              <w:t xml:space="preserve">Chi-Sq. </w:t>
            </w:r>
            <w:proofErr w:type="spellStart"/>
            <w:r w:rsidRPr="008E0629">
              <w:rPr>
                <w:rFonts w:ascii="Times New Roman" w:hAnsi="Times New Roman" w:cs="Times New Roman"/>
                <w:b/>
                <w:color w:val="000000"/>
                <w:sz w:val="24"/>
                <w:szCs w:val="24"/>
              </w:rPr>
              <w:t>d.f.</w:t>
            </w:r>
            <w:proofErr w:type="spellEnd"/>
          </w:p>
        </w:tc>
        <w:tc>
          <w:tcPr>
            <w:tcW w:w="1418" w:type="dxa"/>
            <w:tcBorders>
              <w:bottom w:val="single" w:sz="4" w:space="0" w:color="auto"/>
            </w:tcBorders>
            <w:shd w:val="clear" w:color="auto" w:fill="auto"/>
            <w:vAlign w:val="bottom"/>
          </w:tcPr>
          <w:p w14:paraId="5D96DE8E" w14:textId="1BC6091F" w:rsidR="008E0629" w:rsidRPr="008E0629" w:rsidRDefault="008E0629" w:rsidP="00FB3FAC">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8E0629">
              <w:rPr>
                <w:rFonts w:ascii="Times New Roman" w:hAnsi="Times New Roman" w:cs="Times New Roman"/>
                <w:b/>
                <w:color w:val="000000"/>
                <w:sz w:val="24"/>
                <w:szCs w:val="24"/>
              </w:rPr>
              <w:t>Prob. </w:t>
            </w:r>
          </w:p>
        </w:tc>
      </w:tr>
      <w:tr w:rsidR="008E0629" w:rsidRPr="008E0629" w14:paraId="1DF62602" w14:textId="77777777" w:rsidTr="008E0629">
        <w:trPr>
          <w:trHeight w:val="21"/>
        </w:trPr>
        <w:tc>
          <w:tcPr>
            <w:cnfStyle w:val="000010000000" w:firstRow="0" w:lastRow="0" w:firstColumn="0" w:lastColumn="0" w:oddVBand="1" w:evenVBand="0" w:oddHBand="0" w:evenHBand="0" w:firstRowFirstColumn="0" w:firstRowLastColumn="0" w:lastRowFirstColumn="0" w:lastRowLastColumn="0"/>
            <w:tcW w:w="3686" w:type="dxa"/>
            <w:tcBorders>
              <w:top w:val="single" w:sz="4" w:space="0" w:color="auto"/>
            </w:tcBorders>
            <w:shd w:val="clear" w:color="auto" w:fill="auto"/>
            <w:vAlign w:val="bottom"/>
          </w:tcPr>
          <w:p w14:paraId="7F05C91C" w14:textId="369627E8" w:rsidR="008E0629" w:rsidRPr="008E0629" w:rsidRDefault="008E0629" w:rsidP="00FB3FAC">
            <w:pPr>
              <w:ind w:left="60" w:right="60"/>
              <w:rPr>
                <w:rFonts w:ascii="Times New Roman" w:hAnsi="Times New Roman" w:cs="Times New Roman"/>
                <w:sz w:val="24"/>
                <w:szCs w:val="24"/>
              </w:rPr>
            </w:pPr>
            <w:r w:rsidRPr="008E0629">
              <w:rPr>
                <w:rFonts w:ascii="Times New Roman" w:hAnsi="Times New Roman" w:cs="Times New Roman"/>
                <w:color w:val="000000"/>
                <w:sz w:val="24"/>
                <w:szCs w:val="24"/>
              </w:rPr>
              <w:t>Cross-section random</w:t>
            </w:r>
          </w:p>
        </w:tc>
        <w:tc>
          <w:tcPr>
            <w:tcW w:w="2126" w:type="dxa"/>
            <w:tcBorders>
              <w:top w:val="single" w:sz="4" w:space="0" w:color="auto"/>
            </w:tcBorders>
            <w:shd w:val="clear" w:color="auto" w:fill="auto"/>
            <w:vAlign w:val="bottom"/>
          </w:tcPr>
          <w:p w14:paraId="1C0128EA" w14:textId="59961D8F" w:rsidR="008E0629" w:rsidRPr="008E0629" w:rsidRDefault="008E0629" w:rsidP="00FB3FA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0629">
              <w:rPr>
                <w:rFonts w:ascii="Times New Roman" w:hAnsi="Times New Roman" w:cs="Times New Roman"/>
                <w:color w:val="000000"/>
                <w:sz w:val="24"/>
                <w:szCs w:val="24"/>
              </w:rPr>
              <w:t>27.057993</w:t>
            </w:r>
          </w:p>
        </w:tc>
        <w:tc>
          <w:tcPr>
            <w:cnfStyle w:val="000010000000" w:firstRow="0" w:lastRow="0" w:firstColumn="0" w:lastColumn="0" w:oddVBand="1" w:evenVBand="0" w:oddHBand="0" w:evenHBand="0" w:firstRowFirstColumn="0" w:firstRowLastColumn="0" w:lastRowFirstColumn="0" w:lastRowLastColumn="0"/>
            <w:tcW w:w="1701" w:type="dxa"/>
            <w:tcBorders>
              <w:top w:val="single" w:sz="4" w:space="0" w:color="auto"/>
            </w:tcBorders>
            <w:shd w:val="clear" w:color="auto" w:fill="auto"/>
            <w:vAlign w:val="bottom"/>
          </w:tcPr>
          <w:p w14:paraId="738B68A7" w14:textId="59F5EC7C" w:rsidR="008E0629" w:rsidRPr="008E0629" w:rsidRDefault="008E0629" w:rsidP="00FB3FAC">
            <w:pPr>
              <w:spacing w:line="320" w:lineRule="atLeast"/>
              <w:ind w:left="60" w:right="60"/>
              <w:jc w:val="center"/>
              <w:rPr>
                <w:rFonts w:ascii="Times New Roman" w:hAnsi="Times New Roman" w:cs="Times New Roman"/>
                <w:sz w:val="24"/>
                <w:szCs w:val="24"/>
              </w:rPr>
            </w:pPr>
            <w:r w:rsidRPr="008E0629">
              <w:rPr>
                <w:rFonts w:ascii="Times New Roman" w:hAnsi="Times New Roman" w:cs="Times New Roman"/>
                <w:color w:val="000000"/>
                <w:sz w:val="24"/>
                <w:szCs w:val="24"/>
              </w:rPr>
              <w:t>2</w:t>
            </w:r>
          </w:p>
        </w:tc>
        <w:tc>
          <w:tcPr>
            <w:tcW w:w="1418" w:type="dxa"/>
            <w:tcBorders>
              <w:top w:val="single" w:sz="4" w:space="0" w:color="auto"/>
            </w:tcBorders>
            <w:shd w:val="clear" w:color="auto" w:fill="auto"/>
            <w:vAlign w:val="bottom"/>
          </w:tcPr>
          <w:p w14:paraId="463AD218" w14:textId="681FF707" w:rsidR="008E0629" w:rsidRPr="008E0629" w:rsidRDefault="008E0629" w:rsidP="00FB3FAC">
            <w:pPr>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E0629">
              <w:rPr>
                <w:rFonts w:ascii="Times New Roman" w:hAnsi="Times New Roman" w:cs="Times New Roman"/>
                <w:color w:val="000000"/>
                <w:sz w:val="24"/>
                <w:szCs w:val="24"/>
              </w:rPr>
              <w:t>0.0000</w:t>
            </w:r>
          </w:p>
        </w:tc>
      </w:tr>
      <w:tr w:rsidR="008E0629" w:rsidRPr="008E0629" w14:paraId="401A7AB8" w14:textId="77777777" w:rsidTr="008E0629">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bottom"/>
          </w:tcPr>
          <w:p w14:paraId="071CCA76" w14:textId="258E9DF2" w:rsidR="008E0629" w:rsidRPr="008E0629" w:rsidRDefault="008E0629" w:rsidP="00FB3FAC">
            <w:pPr>
              <w:widowControl w:val="0"/>
              <w:jc w:val="both"/>
              <w:rPr>
                <w:rFonts w:ascii="Times New Roman" w:eastAsia="Batang" w:hAnsi="Times New Roman" w:cs="Times New Roman"/>
                <w:b/>
                <w:color w:val="000000" w:themeColor="text1"/>
                <w:sz w:val="24"/>
                <w:szCs w:val="24"/>
              </w:rPr>
            </w:pPr>
            <w:r w:rsidRPr="008E0629">
              <w:rPr>
                <w:rFonts w:ascii="Times New Roman" w:hAnsi="Times New Roman" w:cs="Times New Roman"/>
                <w:color w:val="000000"/>
                <w:sz w:val="24"/>
                <w:szCs w:val="24"/>
              </w:rPr>
              <w:t>Period random</w:t>
            </w:r>
          </w:p>
        </w:tc>
        <w:tc>
          <w:tcPr>
            <w:tcW w:w="2126" w:type="dxa"/>
            <w:shd w:val="clear" w:color="auto" w:fill="auto"/>
            <w:vAlign w:val="bottom"/>
          </w:tcPr>
          <w:p w14:paraId="768FB907" w14:textId="6B4E057C" w:rsidR="008E0629" w:rsidRPr="008E0629" w:rsidRDefault="008E0629" w:rsidP="00FB3FAC">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rPr>
            </w:pPr>
            <w:r w:rsidRPr="008E0629">
              <w:rPr>
                <w:rFonts w:ascii="Times New Roman" w:hAnsi="Times New Roman" w:cs="Times New Roman"/>
                <w:color w:val="000000"/>
                <w:sz w:val="24"/>
                <w:szCs w:val="24"/>
              </w:rPr>
              <w:t>3.840480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vAlign w:val="bottom"/>
          </w:tcPr>
          <w:p w14:paraId="02BA292C" w14:textId="2B354535" w:rsidR="008E0629" w:rsidRPr="008E0629" w:rsidRDefault="008E0629" w:rsidP="00FB3FAC">
            <w:pPr>
              <w:widowControl w:val="0"/>
              <w:jc w:val="center"/>
              <w:rPr>
                <w:rFonts w:ascii="Times New Roman" w:eastAsia="Batang" w:hAnsi="Times New Roman" w:cs="Times New Roman"/>
                <w:color w:val="000000" w:themeColor="text1"/>
                <w:sz w:val="24"/>
                <w:szCs w:val="24"/>
              </w:rPr>
            </w:pPr>
            <w:r w:rsidRPr="008E0629">
              <w:rPr>
                <w:rFonts w:ascii="Times New Roman" w:hAnsi="Times New Roman" w:cs="Times New Roman"/>
                <w:color w:val="000000"/>
                <w:sz w:val="24"/>
                <w:szCs w:val="24"/>
              </w:rPr>
              <w:t>2</w:t>
            </w:r>
          </w:p>
        </w:tc>
        <w:tc>
          <w:tcPr>
            <w:tcW w:w="1418" w:type="dxa"/>
            <w:shd w:val="clear" w:color="auto" w:fill="auto"/>
            <w:vAlign w:val="bottom"/>
          </w:tcPr>
          <w:p w14:paraId="3ACA388E" w14:textId="35ACD01B" w:rsidR="008E0629" w:rsidRPr="008E0629" w:rsidRDefault="008E0629" w:rsidP="00FB3FAC">
            <w:pPr>
              <w:widowControl w:val="0"/>
              <w:jc w:val="center"/>
              <w:cnfStyle w:val="000000100000" w:firstRow="0" w:lastRow="0" w:firstColumn="0" w:lastColumn="0" w:oddVBand="0" w:evenVBand="0" w:oddHBand="1" w:evenHBand="0" w:firstRowFirstColumn="0" w:firstRowLastColumn="0" w:lastRowFirstColumn="0" w:lastRowLastColumn="0"/>
              <w:rPr>
                <w:rFonts w:ascii="Times New Roman" w:eastAsia="Batang" w:hAnsi="Times New Roman" w:cs="Times New Roman"/>
                <w:color w:val="000000" w:themeColor="text1"/>
                <w:sz w:val="24"/>
                <w:szCs w:val="24"/>
              </w:rPr>
            </w:pPr>
            <w:r w:rsidRPr="008E0629">
              <w:rPr>
                <w:rFonts w:ascii="Times New Roman" w:hAnsi="Times New Roman" w:cs="Times New Roman"/>
                <w:color w:val="000000"/>
                <w:sz w:val="24"/>
                <w:szCs w:val="24"/>
              </w:rPr>
              <w:t>0.1466</w:t>
            </w:r>
          </w:p>
        </w:tc>
      </w:tr>
      <w:tr w:rsidR="008E0629" w:rsidRPr="008E0629" w14:paraId="04303039" w14:textId="77777777" w:rsidTr="008E0629">
        <w:trPr>
          <w:trHeight w:val="225"/>
        </w:trPr>
        <w:tc>
          <w:tcPr>
            <w:cnfStyle w:val="000010000000" w:firstRow="0" w:lastRow="0" w:firstColumn="0" w:lastColumn="0" w:oddVBand="1" w:evenVBand="0" w:oddHBand="0" w:evenHBand="0" w:firstRowFirstColumn="0" w:firstRowLastColumn="0" w:lastRowFirstColumn="0" w:lastRowLastColumn="0"/>
            <w:tcW w:w="3686" w:type="dxa"/>
            <w:shd w:val="clear" w:color="auto" w:fill="auto"/>
            <w:vAlign w:val="bottom"/>
          </w:tcPr>
          <w:p w14:paraId="52E2AC1A" w14:textId="41B86B15" w:rsidR="008E0629" w:rsidRPr="008E0629" w:rsidRDefault="008E0629" w:rsidP="00FB3FAC">
            <w:pPr>
              <w:widowControl w:val="0"/>
              <w:jc w:val="both"/>
              <w:rPr>
                <w:rFonts w:ascii="Times New Roman" w:eastAsia="Batang" w:hAnsi="Times New Roman" w:cs="Times New Roman"/>
                <w:color w:val="000000" w:themeColor="text1"/>
                <w:sz w:val="24"/>
                <w:szCs w:val="24"/>
              </w:rPr>
            </w:pPr>
            <w:r w:rsidRPr="008E0629">
              <w:rPr>
                <w:rFonts w:ascii="Times New Roman" w:hAnsi="Times New Roman" w:cs="Times New Roman"/>
                <w:color w:val="000000"/>
                <w:sz w:val="24"/>
                <w:szCs w:val="24"/>
              </w:rPr>
              <w:t>Cross-section and period random</w:t>
            </w:r>
          </w:p>
        </w:tc>
        <w:tc>
          <w:tcPr>
            <w:tcW w:w="2126" w:type="dxa"/>
            <w:shd w:val="clear" w:color="auto" w:fill="auto"/>
            <w:vAlign w:val="bottom"/>
          </w:tcPr>
          <w:p w14:paraId="5CF13151" w14:textId="5AF0E536" w:rsidR="008E0629" w:rsidRPr="008E0629" w:rsidRDefault="008E0629" w:rsidP="00FB3FA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rPr>
            </w:pPr>
            <w:r w:rsidRPr="008E0629">
              <w:rPr>
                <w:rFonts w:ascii="Times New Roman" w:hAnsi="Times New Roman" w:cs="Times New Roman"/>
                <w:color w:val="000000"/>
                <w:sz w:val="24"/>
                <w:szCs w:val="24"/>
              </w:rPr>
              <w:t>1.887300</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auto"/>
            <w:vAlign w:val="bottom"/>
          </w:tcPr>
          <w:p w14:paraId="2BFDE265" w14:textId="669627A0" w:rsidR="008E0629" w:rsidRPr="008E0629" w:rsidRDefault="008E0629" w:rsidP="00FB3FAC">
            <w:pPr>
              <w:widowControl w:val="0"/>
              <w:jc w:val="center"/>
              <w:rPr>
                <w:rFonts w:ascii="Times New Roman" w:eastAsia="Batang" w:hAnsi="Times New Roman" w:cs="Times New Roman"/>
                <w:color w:val="000000" w:themeColor="text1"/>
                <w:sz w:val="24"/>
                <w:szCs w:val="24"/>
              </w:rPr>
            </w:pPr>
            <w:r w:rsidRPr="008E0629">
              <w:rPr>
                <w:rFonts w:ascii="Times New Roman" w:hAnsi="Times New Roman" w:cs="Times New Roman"/>
                <w:color w:val="000000"/>
                <w:sz w:val="24"/>
                <w:szCs w:val="24"/>
              </w:rPr>
              <w:t>2</w:t>
            </w:r>
          </w:p>
        </w:tc>
        <w:tc>
          <w:tcPr>
            <w:tcW w:w="1418" w:type="dxa"/>
            <w:shd w:val="clear" w:color="auto" w:fill="auto"/>
            <w:vAlign w:val="bottom"/>
          </w:tcPr>
          <w:p w14:paraId="45E2FABB" w14:textId="297B0B41" w:rsidR="008E0629" w:rsidRPr="008E0629" w:rsidRDefault="008E0629" w:rsidP="00FB3FAC">
            <w:pPr>
              <w:widowControl w:val="0"/>
              <w:jc w:val="center"/>
              <w:cnfStyle w:val="000000000000" w:firstRow="0" w:lastRow="0" w:firstColumn="0" w:lastColumn="0" w:oddVBand="0" w:evenVBand="0" w:oddHBand="0" w:evenHBand="0" w:firstRowFirstColumn="0" w:firstRowLastColumn="0" w:lastRowFirstColumn="0" w:lastRowLastColumn="0"/>
              <w:rPr>
                <w:rFonts w:ascii="Times New Roman" w:eastAsia="Batang" w:hAnsi="Times New Roman" w:cs="Times New Roman"/>
                <w:color w:val="000000" w:themeColor="text1"/>
                <w:sz w:val="24"/>
                <w:szCs w:val="24"/>
              </w:rPr>
            </w:pPr>
            <w:r w:rsidRPr="008E0629">
              <w:rPr>
                <w:rFonts w:ascii="Times New Roman" w:hAnsi="Times New Roman" w:cs="Times New Roman"/>
                <w:color w:val="000000"/>
                <w:sz w:val="24"/>
                <w:szCs w:val="24"/>
              </w:rPr>
              <w:t>0.3892</w:t>
            </w:r>
          </w:p>
        </w:tc>
      </w:tr>
      <w:tr w:rsidR="008E0629" w:rsidRPr="008E0629" w14:paraId="271EF692" w14:textId="77777777" w:rsidTr="00FF7EBB">
        <w:trPr>
          <w:cnfStyle w:val="000000100000" w:firstRow="0" w:lastRow="0" w:firstColumn="0" w:lastColumn="0" w:oddVBand="0" w:evenVBand="0" w:oddHBand="1" w:evenHBand="0" w:firstRowFirstColumn="0" w:firstRowLastColumn="0" w:lastRowFirstColumn="0" w:lastRowLastColumn="0"/>
          <w:trHeight w:val="225"/>
        </w:trPr>
        <w:tc>
          <w:tcPr>
            <w:cnfStyle w:val="000010000000" w:firstRow="0" w:lastRow="0" w:firstColumn="0" w:lastColumn="0" w:oddVBand="1" w:evenVBand="0" w:oddHBand="0" w:evenHBand="0" w:firstRowFirstColumn="0" w:firstRowLastColumn="0" w:lastRowFirstColumn="0" w:lastRowLastColumn="0"/>
            <w:tcW w:w="8931" w:type="dxa"/>
            <w:gridSpan w:val="4"/>
            <w:shd w:val="clear" w:color="auto" w:fill="auto"/>
          </w:tcPr>
          <w:p w14:paraId="00E90D96" w14:textId="431955CB" w:rsidR="008E0629" w:rsidRPr="008E0629" w:rsidRDefault="008E0629" w:rsidP="00FB3FAC">
            <w:pPr>
              <w:widowControl w:val="0"/>
              <w:rPr>
                <w:rFonts w:ascii="Times New Roman" w:eastAsia="Batang" w:hAnsi="Times New Roman" w:cs="Times New Roman"/>
                <w:color w:val="000000" w:themeColor="text1"/>
                <w:sz w:val="24"/>
                <w:szCs w:val="24"/>
              </w:rPr>
            </w:pPr>
            <w:r w:rsidRPr="008E0629">
              <w:rPr>
                <w:rFonts w:ascii="Times New Roman" w:hAnsi="Times New Roman" w:cs="Times New Roman"/>
                <w:i/>
                <w:color w:val="000000"/>
                <w:sz w:val="24"/>
                <w:szCs w:val="24"/>
              </w:rPr>
              <w:t>** WARNING: estimated period random effects variance is zero</w:t>
            </w:r>
            <w:r w:rsidRPr="008E0629">
              <w:rPr>
                <w:rFonts w:ascii="Times New Roman" w:hAnsi="Times New Roman" w:cs="Times New Roman"/>
                <w:color w:val="000000"/>
                <w:sz w:val="24"/>
                <w:szCs w:val="24"/>
              </w:rPr>
              <w:t>.</w:t>
            </w:r>
          </w:p>
        </w:tc>
      </w:tr>
    </w:tbl>
    <w:p w14:paraId="39B78509" w14:textId="77777777" w:rsidR="008E0629" w:rsidRPr="008E0629" w:rsidRDefault="008E0629" w:rsidP="00FB3FAC">
      <w:pPr>
        <w:spacing w:after="0" w:line="360" w:lineRule="auto"/>
        <w:jc w:val="both"/>
        <w:rPr>
          <w:rFonts w:ascii="Times New Roman" w:hAnsi="Times New Roman"/>
          <w:i/>
          <w:sz w:val="24"/>
          <w:szCs w:val="24"/>
        </w:rPr>
      </w:pPr>
      <w:r w:rsidRPr="008E0629">
        <w:rPr>
          <w:rFonts w:ascii="Times New Roman" w:hAnsi="Times New Roman"/>
          <w:b/>
          <w:i/>
          <w:sz w:val="24"/>
          <w:szCs w:val="24"/>
        </w:rPr>
        <w:t>Source:</w:t>
      </w:r>
      <w:r w:rsidRPr="008E0629">
        <w:rPr>
          <w:rFonts w:ascii="Times New Roman" w:hAnsi="Times New Roman"/>
          <w:i/>
          <w:sz w:val="24"/>
          <w:szCs w:val="24"/>
        </w:rPr>
        <w:t xml:space="preserve"> Researcher’s Computation Using E-Views 9.0, 2022</w:t>
      </w:r>
    </w:p>
    <w:p w14:paraId="16B54296" w14:textId="77777777" w:rsidR="00FB3FAC" w:rsidRDefault="00FB3FAC" w:rsidP="00FB3FAC">
      <w:pPr>
        <w:spacing w:after="0" w:line="360" w:lineRule="auto"/>
        <w:jc w:val="both"/>
        <w:rPr>
          <w:rFonts w:ascii="Times New Roman" w:hAnsi="Times New Roman"/>
          <w:sz w:val="24"/>
          <w:szCs w:val="24"/>
        </w:rPr>
      </w:pPr>
    </w:p>
    <w:p w14:paraId="630AF250" w14:textId="554D6F57" w:rsidR="00832F8B" w:rsidRPr="00805111" w:rsidRDefault="00701A4B" w:rsidP="00FB3FAC">
      <w:pPr>
        <w:spacing w:after="0" w:line="360" w:lineRule="auto"/>
        <w:jc w:val="both"/>
        <w:rPr>
          <w:rFonts w:ascii="Times New Roman" w:hAnsi="Times New Roman"/>
          <w:sz w:val="24"/>
          <w:szCs w:val="24"/>
        </w:rPr>
      </w:pPr>
      <w:r w:rsidRPr="00C809F6">
        <w:rPr>
          <w:rFonts w:ascii="Times New Roman" w:hAnsi="Times New Roman"/>
          <w:sz w:val="24"/>
          <w:szCs w:val="24"/>
        </w:rPr>
        <w:t xml:space="preserve">The </w:t>
      </w:r>
      <w:r>
        <w:rPr>
          <w:rFonts w:ascii="Times New Roman" w:hAnsi="Times New Roman"/>
          <w:sz w:val="24"/>
          <w:szCs w:val="24"/>
        </w:rPr>
        <w:t xml:space="preserve">Hausman test indicates that </w:t>
      </w:r>
      <w:r w:rsidR="00C03CFB">
        <w:rPr>
          <w:rFonts w:ascii="Times New Roman" w:hAnsi="Times New Roman"/>
          <w:sz w:val="24"/>
          <w:szCs w:val="24"/>
        </w:rPr>
        <w:t xml:space="preserve">the </w:t>
      </w:r>
      <w:r>
        <w:rPr>
          <w:rFonts w:ascii="Times New Roman" w:hAnsi="Times New Roman"/>
          <w:sz w:val="24"/>
          <w:szCs w:val="24"/>
        </w:rPr>
        <w:t xml:space="preserve">random effect model is the most appropriate to </w:t>
      </w:r>
      <w:r w:rsidR="00C03CFB">
        <w:rPr>
          <w:rFonts w:ascii="Times New Roman" w:hAnsi="Times New Roman"/>
          <w:sz w:val="24"/>
          <w:szCs w:val="24"/>
        </w:rPr>
        <w:t xml:space="preserve">the </w:t>
      </w:r>
      <w:r>
        <w:rPr>
          <w:rFonts w:ascii="Times New Roman" w:hAnsi="Times New Roman"/>
          <w:sz w:val="24"/>
          <w:szCs w:val="24"/>
        </w:rPr>
        <w:t xml:space="preserve">fixed effect model given the probability value of more than 0.05. Thus, the null hypothesis which states that </w:t>
      </w:r>
      <w:r w:rsidR="00C03CFB">
        <w:rPr>
          <w:rFonts w:ascii="Times New Roman" w:hAnsi="Times New Roman"/>
          <w:sz w:val="24"/>
          <w:szCs w:val="24"/>
        </w:rPr>
        <w:t xml:space="preserve">the </w:t>
      </w:r>
      <w:r>
        <w:rPr>
          <w:rFonts w:ascii="Times New Roman" w:hAnsi="Times New Roman"/>
          <w:sz w:val="24"/>
          <w:szCs w:val="24"/>
        </w:rPr>
        <w:t xml:space="preserve">random effect model is more appropriate is accepted.   </w:t>
      </w:r>
    </w:p>
    <w:p w14:paraId="2C7F7D59" w14:textId="77777777" w:rsidR="00FB3FAC" w:rsidRDefault="00FB3FAC" w:rsidP="00FB3FAC">
      <w:pPr>
        <w:spacing w:after="0" w:line="240" w:lineRule="auto"/>
        <w:rPr>
          <w:rFonts w:ascii="Times New Roman" w:hAnsi="Times New Roman"/>
          <w:b/>
          <w:sz w:val="24"/>
          <w:szCs w:val="24"/>
        </w:rPr>
      </w:pPr>
    </w:p>
    <w:p w14:paraId="1BF04CC7" w14:textId="429E45E6" w:rsidR="00FB3FAC" w:rsidRDefault="00FB3FAC" w:rsidP="00FB3FAC">
      <w:pPr>
        <w:spacing w:after="0" w:line="240" w:lineRule="auto"/>
        <w:rPr>
          <w:rFonts w:ascii="Times New Roman" w:hAnsi="Times New Roman"/>
          <w:b/>
          <w:sz w:val="24"/>
          <w:szCs w:val="24"/>
        </w:rPr>
      </w:pPr>
    </w:p>
    <w:p w14:paraId="4CEC50DC" w14:textId="542470BF" w:rsidR="00145EF2" w:rsidRDefault="00145EF2" w:rsidP="00FB3FAC">
      <w:pPr>
        <w:spacing w:after="0" w:line="240" w:lineRule="auto"/>
        <w:rPr>
          <w:rFonts w:ascii="Times New Roman" w:hAnsi="Times New Roman"/>
          <w:b/>
          <w:sz w:val="24"/>
          <w:szCs w:val="24"/>
        </w:rPr>
      </w:pPr>
    </w:p>
    <w:p w14:paraId="150629D4" w14:textId="71802F11" w:rsidR="00145EF2" w:rsidRDefault="00145EF2" w:rsidP="00FB3FAC">
      <w:pPr>
        <w:spacing w:after="0" w:line="240" w:lineRule="auto"/>
        <w:rPr>
          <w:rFonts w:ascii="Times New Roman" w:hAnsi="Times New Roman"/>
          <w:b/>
          <w:sz w:val="24"/>
          <w:szCs w:val="24"/>
        </w:rPr>
      </w:pPr>
    </w:p>
    <w:p w14:paraId="5D9A969C" w14:textId="79EE5210" w:rsidR="00145EF2" w:rsidRDefault="00145EF2" w:rsidP="00FB3FAC">
      <w:pPr>
        <w:spacing w:after="0" w:line="240" w:lineRule="auto"/>
        <w:rPr>
          <w:rFonts w:ascii="Times New Roman" w:hAnsi="Times New Roman"/>
          <w:b/>
          <w:sz w:val="24"/>
          <w:szCs w:val="24"/>
        </w:rPr>
      </w:pPr>
    </w:p>
    <w:p w14:paraId="46CF3B54" w14:textId="70E361F1" w:rsidR="00145EF2" w:rsidRDefault="00145EF2" w:rsidP="00FB3FAC">
      <w:pPr>
        <w:spacing w:after="0" w:line="240" w:lineRule="auto"/>
        <w:rPr>
          <w:rFonts w:ascii="Times New Roman" w:hAnsi="Times New Roman"/>
          <w:b/>
          <w:sz w:val="24"/>
          <w:szCs w:val="24"/>
        </w:rPr>
      </w:pPr>
    </w:p>
    <w:p w14:paraId="5E314180" w14:textId="69D8EC3D" w:rsidR="00145EF2" w:rsidRDefault="00145EF2" w:rsidP="00FB3FAC">
      <w:pPr>
        <w:spacing w:after="0" w:line="240" w:lineRule="auto"/>
        <w:rPr>
          <w:rFonts w:ascii="Times New Roman" w:hAnsi="Times New Roman"/>
          <w:b/>
          <w:sz w:val="24"/>
          <w:szCs w:val="24"/>
        </w:rPr>
      </w:pPr>
    </w:p>
    <w:p w14:paraId="41EBD007" w14:textId="22CB4CE0" w:rsidR="00145EF2" w:rsidRDefault="00145EF2" w:rsidP="00FB3FAC">
      <w:pPr>
        <w:spacing w:after="0" w:line="240" w:lineRule="auto"/>
        <w:rPr>
          <w:rFonts w:ascii="Times New Roman" w:hAnsi="Times New Roman"/>
          <w:b/>
          <w:sz w:val="24"/>
          <w:szCs w:val="24"/>
        </w:rPr>
      </w:pPr>
    </w:p>
    <w:p w14:paraId="6C50F0BC" w14:textId="620C3B51" w:rsidR="00145EF2" w:rsidRDefault="00145EF2" w:rsidP="00FB3FAC">
      <w:pPr>
        <w:spacing w:after="0" w:line="240" w:lineRule="auto"/>
        <w:rPr>
          <w:rFonts w:ascii="Times New Roman" w:hAnsi="Times New Roman"/>
          <w:b/>
          <w:sz w:val="24"/>
          <w:szCs w:val="24"/>
        </w:rPr>
      </w:pPr>
    </w:p>
    <w:p w14:paraId="0A4C7243" w14:textId="3699E1CE" w:rsidR="00145EF2" w:rsidRDefault="00145EF2" w:rsidP="00FB3FAC">
      <w:pPr>
        <w:spacing w:after="0" w:line="240" w:lineRule="auto"/>
        <w:rPr>
          <w:rFonts w:ascii="Times New Roman" w:hAnsi="Times New Roman"/>
          <w:b/>
          <w:sz w:val="24"/>
          <w:szCs w:val="24"/>
        </w:rPr>
      </w:pPr>
    </w:p>
    <w:p w14:paraId="48785F6C" w14:textId="51FD491A" w:rsidR="00145EF2" w:rsidRDefault="00145EF2" w:rsidP="00FB3FAC">
      <w:pPr>
        <w:spacing w:after="0" w:line="240" w:lineRule="auto"/>
        <w:rPr>
          <w:rFonts w:ascii="Times New Roman" w:hAnsi="Times New Roman"/>
          <w:b/>
          <w:sz w:val="24"/>
          <w:szCs w:val="24"/>
        </w:rPr>
      </w:pPr>
    </w:p>
    <w:p w14:paraId="7CEA42B5" w14:textId="2ADD3439" w:rsidR="00145EF2" w:rsidRDefault="00145EF2" w:rsidP="00FB3FAC">
      <w:pPr>
        <w:spacing w:after="0" w:line="240" w:lineRule="auto"/>
        <w:rPr>
          <w:rFonts w:ascii="Times New Roman" w:hAnsi="Times New Roman"/>
          <w:b/>
          <w:sz w:val="24"/>
          <w:szCs w:val="24"/>
        </w:rPr>
      </w:pPr>
    </w:p>
    <w:p w14:paraId="03293B23" w14:textId="77777777" w:rsidR="00145EF2" w:rsidRDefault="00145EF2" w:rsidP="00FB3FAC">
      <w:pPr>
        <w:spacing w:after="0" w:line="240" w:lineRule="auto"/>
        <w:rPr>
          <w:rFonts w:ascii="Times New Roman" w:hAnsi="Times New Roman"/>
          <w:b/>
          <w:sz w:val="24"/>
          <w:szCs w:val="24"/>
        </w:rPr>
      </w:pPr>
    </w:p>
    <w:p w14:paraId="5DA830EC" w14:textId="484BB875" w:rsidR="00701A4B" w:rsidRDefault="00183E53" w:rsidP="00FB3FAC">
      <w:pPr>
        <w:spacing w:after="0" w:line="240" w:lineRule="auto"/>
        <w:rPr>
          <w:rFonts w:ascii="Times New Roman" w:hAnsi="Times New Roman"/>
          <w:b/>
          <w:sz w:val="24"/>
          <w:szCs w:val="24"/>
        </w:rPr>
      </w:pPr>
      <w:r>
        <w:rPr>
          <w:rFonts w:ascii="Times New Roman" w:hAnsi="Times New Roman"/>
          <w:b/>
          <w:sz w:val="24"/>
          <w:szCs w:val="24"/>
        </w:rPr>
        <w:lastRenderedPageBreak/>
        <w:t>T</w:t>
      </w:r>
      <w:r w:rsidR="00701A4B">
        <w:rPr>
          <w:rFonts w:ascii="Times New Roman" w:hAnsi="Times New Roman"/>
          <w:b/>
          <w:sz w:val="24"/>
          <w:szCs w:val="24"/>
        </w:rPr>
        <w:t>able 4</w:t>
      </w:r>
      <w:r w:rsidR="00701A4B" w:rsidRPr="008C2E5F">
        <w:rPr>
          <w:rFonts w:ascii="Times New Roman" w:hAnsi="Times New Roman"/>
          <w:b/>
          <w:sz w:val="24"/>
          <w:szCs w:val="24"/>
        </w:rPr>
        <w:t xml:space="preserve">:  </w:t>
      </w:r>
      <w:r w:rsidR="00701A4B">
        <w:rPr>
          <w:rFonts w:ascii="Times New Roman" w:hAnsi="Times New Roman"/>
          <w:b/>
          <w:sz w:val="24"/>
          <w:szCs w:val="24"/>
        </w:rPr>
        <w:t xml:space="preserve">Panel </w:t>
      </w:r>
      <w:r w:rsidR="00701A4B" w:rsidRPr="008C2E5F">
        <w:rPr>
          <w:rFonts w:ascii="Times New Roman" w:hAnsi="Times New Roman"/>
          <w:b/>
          <w:sz w:val="24"/>
          <w:szCs w:val="24"/>
        </w:rPr>
        <w:t xml:space="preserve">Regression result </w:t>
      </w:r>
    </w:p>
    <w:tbl>
      <w:tblPr>
        <w:tblW w:w="9042" w:type="dxa"/>
        <w:tblInd w:w="30" w:type="dxa"/>
        <w:tblLayout w:type="fixed"/>
        <w:tblCellMar>
          <w:left w:w="0" w:type="dxa"/>
          <w:right w:w="0" w:type="dxa"/>
        </w:tblCellMar>
        <w:tblLook w:val="0000" w:firstRow="0" w:lastRow="0" w:firstColumn="0" w:lastColumn="0" w:noHBand="0" w:noVBand="0"/>
      </w:tblPr>
      <w:tblGrid>
        <w:gridCol w:w="2017"/>
        <w:gridCol w:w="1103"/>
        <w:gridCol w:w="3087"/>
        <w:gridCol w:w="1276"/>
        <w:gridCol w:w="1559"/>
      </w:tblGrid>
      <w:tr w:rsidR="00F10E29" w14:paraId="5BDA75E3" w14:textId="77777777" w:rsidTr="00805111">
        <w:trPr>
          <w:trHeight w:val="225"/>
        </w:trPr>
        <w:tc>
          <w:tcPr>
            <w:tcW w:w="2017" w:type="dxa"/>
            <w:tcBorders>
              <w:top w:val="single" w:sz="4" w:space="0" w:color="auto"/>
              <w:left w:val="nil"/>
              <w:bottom w:val="single" w:sz="4" w:space="0" w:color="auto"/>
              <w:right w:val="nil"/>
            </w:tcBorders>
            <w:vAlign w:val="bottom"/>
          </w:tcPr>
          <w:p w14:paraId="2B08C3AF"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r w:rsidRPr="00805111">
              <w:rPr>
                <w:rFonts w:ascii="Times New Roman" w:hAnsi="Times New Roman" w:cs="Times New Roman"/>
                <w:color w:val="000000"/>
                <w:sz w:val="18"/>
                <w:szCs w:val="18"/>
              </w:rPr>
              <w:t>Variable</w:t>
            </w:r>
          </w:p>
        </w:tc>
        <w:tc>
          <w:tcPr>
            <w:tcW w:w="1103" w:type="dxa"/>
            <w:tcBorders>
              <w:top w:val="single" w:sz="4" w:space="0" w:color="auto"/>
              <w:left w:val="nil"/>
              <w:bottom w:val="single" w:sz="4" w:space="0" w:color="auto"/>
              <w:right w:val="nil"/>
            </w:tcBorders>
            <w:vAlign w:val="bottom"/>
          </w:tcPr>
          <w:p w14:paraId="0A47ED30"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Coefficient</w:t>
            </w:r>
          </w:p>
        </w:tc>
        <w:tc>
          <w:tcPr>
            <w:tcW w:w="3087" w:type="dxa"/>
            <w:tcBorders>
              <w:top w:val="single" w:sz="4" w:space="0" w:color="auto"/>
              <w:left w:val="nil"/>
              <w:bottom w:val="single" w:sz="4" w:space="0" w:color="auto"/>
              <w:right w:val="nil"/>
            </w:tcBorders>
            <w:vAlign w:val="bottom"/>
          </w:tcPr>
          <w:p w14:paraId="04631166"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Std. Error</w:t>
            </w:r>
          </w:p>
        </w:tc>
        <w:tc>
          <w:tcPr>
            <w:tcW w:w="1276" w:type="dxa"/>
            <w:tcBorders>
              <w:top w:val="single" w:sz="4" w:space="0" w:color="auto"/>
              <w:left w:val="nil"/>
              <w:bottom w:val="single" w:sz="4" w:space="0" w:color="auto"/>
              <w:right w:val="nil"/>
            </w:tcBorders>
            <w:vAlign w:val="bottom"/>
          </w:tcPr>
          <w:p w14:paraId="679F2A0E"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t-Statistic</w:t>
            </w:r>
          </w:p>
        </w:tc>
        <w:tc>
          <w:tcPr>
            <w:tcW w:w="1559" w:type="dxa"/>
            <w:tcBorders>
              <w:top w:val="single" w:sz="4" w:space="0" w:color="auto"/>
              <w:left w:val="nil"/>
              <w:bottom w:val="single" w:sz="4" w:space="0" w:color="auto"/>
              <w:right w:val="nil"/>
            </w:tcBorders>
            <w:vAlign w:val="bottom"/>
          </w:tcPr>
          <w:p w14:paraId="601D372C"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Prob.  </w:t>
            </w:r>
          </w:p>
        </w:tc>
      </w:tr>
      <w:tr w:rsidR="00F10E29" w14:paraId="7700EB9D" w14:textId="77777777" w:rsidTr="00805111">
        <w:trPr>
          <w:trHeight w:hRule="exact" w:val="90"/>
        </w:trPr>
        <w:tc>
          <w:tcPr>
            <w:tcW w:w="2017" w:type="dxa"/>
            <w:tcBorders>
              <w:top w:val="single" w:sz="4" w:space="0" w:color="auto"/>
              <w:left w:val="nil"/>
              <w:right w:val="nil"/>
            </w:tcBorders>
            <w:vAlign w:val="bottom"/>
          </w:tcPr>
          <w:p w14:paraId="66E97CAC"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single" w:sz="4" w:space="0" w:color="auto"/>
              <w:left w:val="nil"/>
              <w:right w:val="nil"/>
            </w:tcBorders>
            <w:vAlign w:val="bottom"/>
          </w:tcPr>
          <w:p w14:paraId="2660D250"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single" w:sz="4" w:space="0" w:color="auto"/>
              <w:left w:val="nil"/>
              <w:right w:val="nil"/>
            </w:tcBorders>
            <w:vAlign w:val="bottom"/>
          </w:tcPr>
          <w:p w14:paraId="6B711C41"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single" w:sz="4" w:space="0" w:color="auto"/>
              <w:left w:val="nil"/>
              <w:right w:val="nil"/>
            </w:tcBorders>
            <w:vAlign w:val="bottom"/>
          </w:tcPr>
          <w:p w14:paraId="6D55D79B"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single" w:sz="4" w:space="0" w:color="auto"/>
              <w:left w:val="nil"/>
              <w:right w:val="nil"/>
            </w:tcBorders>
            <w:vAlign w:val="bottom"/>
          </w:tcPr>
          <w:p w14:paraId="113D480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327E86D5" w14:textId="77777777" w:rsidTr="00805111">
        <w:trPr>
          <w:trHeight w:hRule="exact" w:val="135"/>
        </w:trPr>
        <w:tc>
          <w:tcPr>
            <w:tcW w:w="2017" w:type="dxa"/>
            <w:tcBorders>
              <w:top w:val="nil"/>
              <w:left w:val="nil"/>
              <w:bottom w:val="nil"/>
              <w:right w:val="nil"/>
            </w:tcBorders>
            <w:vAlign w:val="bottom"/>
          </w:tcPr>
          <w:p w14:paraId="795BD34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52C544B3"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bottom w:val="nil"/>
              <w:right w:val="nil"/>
            </w:tcBorders>
            <w:vAlign w:val="bottom"/>
          </w:tcPr>
          <w:p w14:paraId="74E9753E"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3B43D325"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3408039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43490C3B" w14:textId="77777777" w:rsidTr="00805111">
        <w:trPr>
          <w:trHeight w:val="225"/>
        </w:trPr>
        <w:tc>
          <w:tcPr>
            <w:tcW w:w="2017" w:type="dxa"/>
            <w:tcBorders>
              <w:top w:val="nil"/>
              <w:left w:val="nil"/>
              <w:bottom w:val="nil"/>
              <w:right w:val="nil"/>
            </w:tcBorders>
            <w:vAlign w:val="bottom"/>
          </w:tcPr>
          <w:p w14:paraId="3B075E1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r w:rsidRPr="00805111">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24B1617D"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-0.323887</w:t>
            </w:r>
          </w:p>
        </w:tc>
        <w:tc>
          <w:tcPr>
            <w:tcW w:w="3087" w:type="dxa"/>
            <w:tcBorders>
              <w:top w:val="nil"/>
              <w:left w:val="nil"/>
              <w:bottom w:val="nil"/>
              <w:right w:val="nil"/>
            </w:tcBorders>
            <w:vAlign w:val="bottom"/>
          </w:tcPr>
          <w:p w14:paraId="43F5B6AD"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0.226369</w:t>
            </w:r>
          </w:p>
        </w:tc>
        <w:tc>
          <w:tcPr>
            <w:tcW w:w="1276" w:type="dxa"/>
            <w:tcBorders>
              <w:top w:val="nil"/>
              <w:left w:val="nil"/>
              <w:bottom w:val="nil"/>
              <w:right w:val="nil"/>
            </w:tcBorders>
            <w:vAlign w:val="bottom"/>
          </w:tcPr>
          <w:p w14:paraId="446DE284"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-1.430789</w:t>
            </w:r>
          </w:p>
        </w:tc>
        <w:tc>
          <w:tcPr>
            <w:tcW w:w="1559" w:type="dxa"/>
            <w:tcBorders>
              <w:top w:val="nil"/>
              <w:left w:val="nil"/>
              <w:bottom w:val="nil"/>
              <w:right w:val="nil"/>
            </w:tcBorders>
            <w:vAlign w:val="bottom"/>
          </w:tcPr>
          <w:p w14:paraId="4697A95C"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0.1561</w:t>
            </w:r>
          </w:p>
        </w:tc>
      </w:tr>
      <w:tr w:rsidR="00F10E29" w14:paraId="3EC60EFA" w14:textId="77777777" w:rsidTr="00805111">
        <w:trPr>
          <w:trHeight w:val="225"/>
        </w:trPr>
        <w:tc>
          <w:tcPr>
            <w:tcW w:w="2017" w:type="dxa"/>
            <w:tcBorders>
              <w:top w:val="nil"/>
              <w:left w:val="nil"/>
              <w:bottom w:val="nil"/>
              <w:right w:val="nil"/>
            </w:tcBorders>
            <w:vAlign w:val="bottom"/>
          </w:tcPr>
          <w:p w14:paraId="64671D28" w14:textId="48B47F85" w:rsidR="00F10E29" w:rsidRPr="00805111" w:rsidRDefault="000024FC" w:rsidP="00FB3FAC">
            <w:pPr>
              <w:autoSpaceDE w:val="0"/>
              <w:autoSpaceDN w:val="0"/>
              <w:adjustRightInd w:val="0"/>
              <w:spacing w:after="0" w:line="240" w:lineRule="auto"/>
              <w:jc w:val="center"/>
              <w:rPr>
                <w:rFonts w:ascii="Times New Roman" w:hAnsi="Times New Roman" w:cs="Times New Roman"/>
                <w:color w:val="000000"/>
                <w:sz w:val="18"/>
                <w:szCs w:val="18"/>
              </w:rPr>
            </w:pPr>
            <w:r w:rsidRPr="00805111">
              <w:rPr>
                <w:rFonts w:ascii="Times New Roman" w:hAnsi="Times New Roman" w:cs="Times New Roman"/>
                <w:color w:val="000000"/>
                <w:sz w:val="18"/>
                <w:szCs w:val="18"/>
              </w:rPr>
              <w:t>OW</w:t>
            </w:r>
            <w:r w:rsidR="009A632A" w:rsidRPr="00805111">
              <w:rPr>
                <w:rFonts w:ascii="Times New Roman" w:hAnsi="Times New Roman" w:cs="Times New Roman"/>
                <w:color w:val="000000"/>
                <w:sz w:val="18"/>
                <w:szCs w:val="18"/>
              </w:rPr>
              <w:t>C</w:t>
            </w:r>
          </w:p>
        </w:tc>
        <w:tc>
          <w:tcPr>
            <w:tcW w:w="1103" w:type="dxa"/>
            <w:tcBorders>
              <w:top w:val="nil"/>
              <w:left w:val="nil"/>
              <w:bottom w:val="nil"/>
              <w:right w:val="nil"/>
            </w:tcBorders>
            <w:vAlign w:val="bottom"/>
          </w:tcPr>
          <w:p w14:paraId="62D66CAF"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-3.72E-12</w:t>
            </w:r>
          </w:p>
        </w:tc>
        <w:tc>
          <w:tcPr>
            <w:tcW w:w="3087" w:type="dxa"/>
            <w:tcBorders>
              <w:top w:val="nil"/>
              <w:left w:val="nil"/>
              <w:bottom w:val="nil"/>
              <w:right w:val="nil"/>
            </w:tcBorders>
            <w:vAlign w:val="bottom"/>
          </w:tcPr>
          <w:p w14:paraId="571457A7"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1.71E-12</w:t>
            </w:r>
          </w:p>
        </w:tc>
        <w:tc>
          <w:tcPr>
            <w:tcW w:w="1276" w:type="dxa"/>
            <w:tcBorders>
              <w:top w:val="nil"/>
              <w:left w:val="nil"/>
              <w:bottom w:val="nil"/>
              <w:right w:val="nil"/>
            </w:tcBorders>
            <w:vAlign w:val="bottom"/>
          </w:tcPr>
          <w:p w14:paraId="427398F4"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-2.176061</w:t>
            </w:r>
          </w:p>
        </w:tc>
        <w:tc>
          <w:tcPr>
            <w:tcW w:w="1559" w:type="dxa"/>
            <w:tcBorders>
              <w:top w:val="nil"/>
              <w:left w:val="nil"/>
              <w:bottom w:val="nil"/>
              <w:right w:val="nil"/>
            </w:tcBorders>
            <w:vAlign w:val="bottom"/>
          </w:tcPr>
          <w:p w14:paraId="67BFA912"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0.0323</w:t>
            </w:r>
          </w:p>
        </w:tc>
      </w:tr>
      <w:tr w:rsidR="00F10E29" w14:paraId="3DAFE7BB" w14:textId="77777777" w:rsidTr="00805111">
        <w:trPr>
          <w:trHeight w:val="225"/>
        </w:trPr>
        <w:tc>
          <w:tcPr>
            <w:tcW w:w="2017" w:type="dxa"/>
            <w:tcBorders>
              <w:top w:val="nil"/>
              <w:left w:val="nil"/>
              <w:bottom w:val="nil"/>
              <w:right w:val="nil"/>
            </w:tcBorders>
            <w:vAlign w:val="bottom"/>
          </w:tcPr>
          <w:p w14:paraId="4F3954D3"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r w:rsidRPr="00805111">
              <w:rPr>
                <w:rFonts w:ascii="Times New Roman" w:hAnsi="Times New Roman" w:cs="Times New Roman"/>
                <w:color w:val="000000"/>
                <w:sz w:val="18"/>
                <w:szCs w:val="18"/>
              </w:rPr>
              <w:t>BS</w:t>
            </w:r>
          </w:p>
        </w:tc>
        <w:tc>
          <w:tcPr>
            <w:tcW w:w="1103" w:type="dxa"/>
            <w:tcBorders>
              <w:top w:val="nil"/>
              <w:left w:val="nil"/>
              <w:bottom w:val="nil"/>
              <w:right w:val="nil"/>
            </w:tcBorders>
            <w:vAlign w:val="bottom"/>
          </w:tcPr>
          <w:p w14:paraId="657811D8"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0.041961</w:t>
            </w:r>
          </w:p>
        </w:tc>
        <w:tc>
          <w:tcPr>
            <w:tcW w:w="3087" w:type="dxa"/>
            <w:tcBorders>
              <w:top w:val="nil"/>
              <w:left w:val="nil"/>
              <w:bottom w:val="nil"/>
              <w:right w:val="nil"/>
            </w:tcBorders>
            <w:vAlign w:val="bottom"/>
          </w:tcPr>
          <w:p w14:paraId="4A517A96"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0.024591</w:t>
            </w:r>
          </w:p>
        </w:tc>
        <w:tc>
          <w:tcPr>
            <w:tcW w:w="1276" w:type="dxa"/>
            <w:tcBorders>
              <w:top w:val="nil"/>
              <w:left w:val="nil"/>
              <w:bottom w:val="nil"/>
              <w:right w:val="nil"/>
            </w:tcBorders>
            <w:vAlign w:val="bottom"/>
          </w:tcPr>
          <w:p w14:paraId="32D8B4A5"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1.706332</w:t>
            </w:r>
          </w:p>
        </w:tc>
        <w:tc>
          <w:tcPr>
            <w:tcW w:w="1559" w:type="dxa"/>
            <w:tcBorders>
              <w:top w:val="nil"/>
              <w:left w:val="nil"/>
              <w:bottom w:val="nil"/>
              <w:right w:val="nil"/>
            </w:tcBorders>
            <w:vAlign w:val="bottom"/>
          </w:tcPr>
          <w:p w14:paraId="3E96E3DA"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0.0915</w:t>
            </w:r>
          </w:p>
        </w:tc>
      </w:tr>
      <w:tr w:rsidR="00F10E29" w14:paraId="007F8B45" w14:textId="77777777" w:rsidTr="00805111">
        <w:trPr>
          <w:trHeight w:hRule="exact" w:val="90"/>
        </w:trPr>
        <w:tc>
          <w:tcPr>
            <w:tcW w:w="2017" w:type="dxa"/>
            <w:tcBorders>
              <w:top w:val="nil"/>
              <w:left w:val="nil"/>
              <w:right w:val="nil"/>
            </w:tcBorders>
            <w:vAlign w:val="bottom"/>
          </w:tcPr>
          <w:p w14:paraId="2059B9FE"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right w:val="nil"/>
            </w:tcBorders>
            <w:vAlign w:val="bottom"/>
          </w:tcPr>
          <w:p w14:paraId="2D40FC9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right w:val="nil"/>
            </w:tcBorders>
            <w:vAlign w:val="bottom"/>
          </w:tcPr>
          <w:p w14:paraId="312648D4"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right w:val="nil"/>
            </w:tcBorders>
            <w:vAlign w:val="bottom"/>
          </w:tcPr>
          <w:p w14:paraId="24C4B40D"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right w:val="nil"/>
            </w:tcBorders>
            <w:vAlign w:val="bottom"/>
          </w:tcPr>
          <w:p w14:paraId="293C11B1"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523E3BEC" w14:textId="77777777" w:rsidTr="00805111">
        <w:trPr>
          <w:trHeight w:hRule="exact" w:val="135"/>
        </w:trPr>
        <w:tc>
          <w:tcPr>
            <w:tcW w:w="2017" w:type="dxa"/>
            <w:tcBorders>
              <w:top w:val="nil"/>
              <w:left w:val="nil"/>
              <w:bottom w:val="nil"/>
              <w:right w:val="nil"/>
            </w:tcBorders>
            <w:vAlign w:val="bottom"/>
          </w:tcPr>
          <w:p w14:paraId="380E92FC"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2299AE0"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bottom w:val="nil"/>
              <w:right w:val="nil"/>
            </w:tcBorders>
            <w:vAlign w:val="bottom"/>
          </w:tcPr>
          <w:p w14:paraId="312753B3"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4CC2C914"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67A8CFF1"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6D421027" w14:textId="77777777" w:rsidTr="00805111">
        <w:trPr>
          <w:trHeight w:val="225"/>
        </w:trPr>
        <w:tc>
          <w:tcPr>
            <w:tcW w:w="2017" w:type="dxa"/>
            <w:tcBorders>
              <w:top w:val="nil"/>
              <w:left w:val="nil"/>
              <w:bottom w:val="nil"/>
              <w:right w:val="nil"/>
            </w:tcBorders>
            <w:vAlign w:val="bottom"/>
          </w:tcPr>
          <w:p w14:paraId="388DB1BD"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4190" w:type="dxa"/>
            <w:gridSpan w:val="2"/>
            <w:tcBorders>
              <w:top w:val="nil"/>
              <w:left w:val="nil"/>
              <w:bottom w:val="nil"/>
              <w:right w:val="nil"/>
            </w:tcBorders>
            <w:vAlign w:val="bottom"/>
          </w:tcPr>
          <w:p w14:paraId="2EE873CE"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r w:rsidRPr="00805111">
              <w:rPr>
                <w:rFonts w:ascii="Times New Roman" w:hAnsi="Times New Roman" w:cs="Times New Roman"/>
                <w:color w:val="000000"/>
                <w:sz w:val="18"/>
                <w:szCs w:val="18"/>
              </w:rPr>
              <w:t>Effects Specification</w:t>
            </w:r>
          </w:p>
        </w:tc>
        <w:tc>
          <w:tcPr>
            <w:tcW w:w="1276" w:type="dxa"/>
            <w:tcBorders>
              <w:top w:val="nil"/>
              <w:left w:val="nil"/>
              <w:bottom w:val="nil"/>
              <w:right w:val="nil"/>
            </w:tcBorders>
            <w:vAlign w:val="bottom"/>
          </w:tcPr>
          <w:p w14:paraId="35A802AF"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097BCBB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5354E29B" w14:textId="77777777" w:rsidTr="00805111">
        <w:trPr>
          <w:trHeight w:val="225"/>
        </w:trPr>
        <w:tc>
          <w:tcPr>
            <w:tcW w:w="2017" w:type="dxa"/>
            <w:tcBorders>
              <w:top w:val="nil"/>
              <w:left w:val="nil"/>
              <w:bottom w:val="nil"/>
              <w:right w:val="nil"/>
            </w:tcBorders>
            <w:vAlign w:val="bottom"/>
          </w:tcPr>
          <w:p w14:paraId="1A72939E"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895DA28"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bottom w:val="nil"/>
              <w:right w:val="nil"/>
            </w:tcBorders>
            <w:vAlign w:val="bottom"/>
          </w:tcPr>
          <w:p w14:paraId="67DF0E7D"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733BC911"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S.D.  </w:t>
            </w:r>
          </w:p>
        </w:tc>
        <w:tc>
          <w:tcPr>
            <w:tcW w:w="1559" w:type="dxa"/>
            <w:tcBorders>
              <w:top w:val="nil"/>
              <w:left w:val="nil"/>
              <w:bottom w:val="nil"/>
              <w:right w:val="nil"/>
            </w:tcBorders>
            <w:vAlign w:val="bottom"/>
          </w:tcPr>
          <w:p w14:paraId="579D9473"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Rho  </w:t>
            </w:r>
          </w:p>
        </w:tc>
      </w:tr>
      <w:tr w:rsidR="00F10E29" w14:paraId="6C090B69" w14:textId="77777777" w:rsidTr="00805111">
        <w:trPr>
          <w:trHeight w:hRule="exact" w:val="90"/>
        </w:trPr>
        <w:tc>
          <w:tcPr>
            <w:tcW w:w="2017" w:type="dxa"/>
            <w:tcBorders>
              <w:top w:val="nil"/>
              <w:left w:val="nil"/>
              <w:right w:val="nil"/>
            </w:tcBorders>
            <w:vAlign w:val="bottom"/>
          </w:tcPr>
          <w:p w14:paraId="7A86448C"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right w:val="nil"/>
            </w:tcBorders>
            <w:vAlign w:val="bottom"/>
          </w:tcPr>
          <w:p w14:paraId="0C00B2D0"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right w:val="nil"/>
            </w:tcBorders>
            <w:vAlign w:val="bottom"/>
          </w:tcPr>
          <w:p w14:paraId="11D88419"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right w:val="nil"/>
            </w:tcBorders>
            <w:vAlign w:val="bottom"/>
          </w:tcPr>
          <w:p w14:paraId="3A505ED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right w:val="nil"/>
            </w:tcBorders>
            <w:vAlign w:val="bottom"/>
          </w:tcPr>
          <w:p w14:paraId="38533AF1"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231B4E8D" w14:textId="77777777" w:rsidTr="00805111">
        <w:trPr>
          <w:trHeight w:hRule="exact" w:val="135"/>
        </w:trPr>
        <w:tc>
          <w:tcPr>
            <w:tcW w:w="2017" w:type="dxa"/>
            <w:tcBorders>
              <w:top w:val="nil"/>
              <w:left w:val="nil"/>
              <w:bottom w:val="nil"/>
              <w:right w:val="nil"/>
            </w:tcBorders>
            <w:vAlign w:val="bottom"/>
          </w:tcPr>
          <w:p w14:paraId="3207AF8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6BE4EB83"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bottom w:val="nil"/>
              <w:right w:val="nil"/>
            </w:tcBorders>
            <w:vAlign w:val="bottom"/>
          </w:tcPr>
          <w:p w14:paraId="482BDFE6"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56395631"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70AC754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18CD47E4" w14:textId="77777777" w:rsidTr="00805111">
        <w:trPr>
          <w:trHeight w:val="225"/>
        </w:trPr>
        <w:tc>
          <w:tcPr>
            <w:tcW w:w="6207" w:type="dxa"/>
            <w:gridSpan w:val="3"/>
            <w:tcBorders>
              <w:top w:val="nil"/>
              <w:left w:val="nil"/>
              <w:bottom w:val="nil"/>
              <w:right w:val="nil"/>
            </w:tcBorders>
            <w:vAlign w:val="bottom"/>
          </w:tcPr>
          <w:p w14:paraId="69A14E83"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Cross-section random</w:t>
            </w:r>
          </w:p>
        </w:tc>
        <w:tc>
          <w:tcPr>
            <w:tcW w:w="1276" w:type="dxa"/>
            <w:tcBorders>
              <w:top w:val="nil"/>
              <w:left w:val="nil"/>
              <w:bottom w:val="nil"/>
              <w:right w:val="nil"/>
            </w:tcBorders>
            <w:vAlign w:val="bottom"/>
          </w:tcPr>
          <w:p w14:paraId="0DB5AA19"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0.018564</w:t>
            </w:r>
          </w:p>
        </w:tc>
        <w:tc>
          <w:tcPr>
            <w:tcW w:w="1559" w:type="dxa"/>
            <w:tcBorders>
              <w:top w:val="nil"/>
              <w:left w:val="nil"/>
              <w:bottom w:val="nil"/>
              <w:right w:val="nil"/>
            </w:tcBorders>
            <w:vAlign w:val="bottom"/>
          </w:tcPr>
          <w:p w14:paraId="0D4B3217"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0.1537</w:t>
            </w:r>
          </w:p>
        </w:tc>
      </w:tr>
      <w:tr w:rsidR="00F10E29" w14:paraId="045B2776" w14:textId="77777777" w:rsidTr="00805111">
        <w:trPr>
          <w:trHeight w:val="225"/>
        </w:trPr>
        <w:tc>
          <w:tcPr>
            <w:tcW w:w="3120" w:type="dxa"/>
            <w:gridSpan w:val="2"/>
            <w:tcBorders>
              <w:top w:val="nil"/>
              <w:left w:val="nil"/>
              <w:bottom w:val="nil"/>
              <w:right w:val="nil"/>
            </w:tcBorders>
            <w:vAlign w:val="bottom"/>
          </w:tcPr>
          <w:p w14:paraId="164BBDC3"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Period random</w:t>
            </w:r>
          </w:p>
        </w:tc>
        <w:tc>
          <w:tcPr>
            <w:tcW w:w="3087" w:type="dxa"/>
            <w:tcBorders>
              <w:top w:val="nil"/>
              <w:left w:val="nil"/>
              <w:bottom w:val="nil"/>
              <w:right w:val="nil"/>
            </w:tcBorders>
            <w:vAlign w:val="bottom"/>
          </w:tcPr>
          <w:p w14:paraId="2383FD45"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199801A2"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0.000000</w:t>
            </w:r>
          </w:p>
        </w:tc>
        <w:tc>
          <w:tcPr>
            <w:tcW w:w="1559" w:type="dxa"/>
            <w:tcBorders>
              <w:top w:val="nil"/>
              <w:left w:val="nil"/>
              <w:bottom w:val="nil"/>
              <w:right w:val="nil"/>
            </w:tcBorders>
            <w:vAlign w:val="bottom"/>
          </w:tcPr>
          <w:p w14:paraId="778354DA"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0.0000</w:t>
            </w:r>
          </w:p>
        </w:tc>
      </w:tr>
      <w:tr w:rsidR="00F10E29" w14:paraId="690A3BBD" w14:textId="77777777" w:rsidTr="00805111">
        <w:trPr>
          <w:trHeight w:val="225"/>
        </w:trPr>
        <w:tc>
          <w:tcPr>
            <w:tcW w:w="6207" w:type="dxa"/>
            <w:gridSpan w:val="3"/>
            <w:tcBorders>
              <w:top w:val="nil"/>
              <w:left w:val="nil"/>
              <w:bottom w:val="nil"/>
              <w:right w:val="nil"/>
            </w:tcBorders>
            <w:vAlign w:val="bottom"/>
          </w:tcPr>
          <w:p w14:paraId="38057B83"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Idiosyncratic random</w:t>
            </w:r>
          </w:p>
        </w:tc>
        <w:tc>
          <w:tcPr>
            <w:tcW w:w="1276" w:type="dxa"/>
            <w:tcBorders>
              <w:top w:val="nil"/>
              <w:left w:val="nil"/>
              <w:bottom w:val="nil"/>
              <w:right w:val="nil"/>
            </w:tcBorders>
            <w:vAlign w:val="bottom"/>
          </w:tcPr>
          <w:p w14:paraId="534B2E0F"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0.043559</w:t>
            </w:r>
          </w:p>
        </w:tc>
        <w:tc>
          <w:tcPr>
            <w:tcW w:w="1559" w:type="dxa"/>
            <w:tcBorders>
              <w:top w:val="nil"/>
              <w:left w:val="nil"/>
              <w:bottom w:val="nil"/>
              <w:right w:val="nil"/>
            </w:tcBorders>
            <w:vAlign w:val="bottom"/>
          </w:tcPr>
          <w:p w14:paraId="0632E1B9"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0.8463</w:t>
            </w:r>
          </w:p>
        </w:tc>
      </w:tr>
      <w:tr w:rsidR="00F10E29" w14:paraId="2A232F90" w14:textId="77777777" w:rsidTr="00805111">
        <w:trPr>
          <w:trHeight w:hRule="exact" w:val="90"/>
        </w:trPr>
        <w:tc>
          <w:tcPr>
            <w:tcW w:w="2017" w:type="dxa"/>
            <w:tcBorders>
              <w:top w:val="nil"/>
              <w:left w:val="nil"/>
              <w:right w:val="nil"/>
            </w:tcBorders>
            <w:vAlign w:val="bottom"/>
          </w:tcPr>
          <w:p w14:paraId="48A2B114"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right w:val="nil"/>
            </w:tcBorders>
            <w:vAlign w:val="bottom"/>
          </w:tcPr>
          <w:p w14:paraId="247029EE"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right w:val="nil"/>
            </w:tcBorders>
            <w:vAlign w:val="bottom"/>
          </w:tcPr>
          <w:p w14:paraId="7E0544E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right w:val="nil"/>
            </w:tcBorders>
            <w:vAlign w:val="bottom"/>
          </w:tcPr>
          <w:p w14:paraId="2B307F80"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right w:val="nil"/>
            </w:tcBorders>
            <w:vAlign w:val="bottom"/>
          </w:tcPr>
          <w:p w14:paraId="7E980C7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0FDDCE0A" w14:textId="77777777" w:rsidTr="00805111">
        <w:trPr>
          <w:trHeight w:hRule="exact" w:val="135"/>
        </w:trPr>
        <w:tc>
          <w:tcPr>
            <w:tcW w:w="2017" w:type="dxa"/>
            <w:tcBorders>
              <w:top w:val="nil"/>
              <w:left w:val="nil"/>
              <w:bottom w:val="nil"/>
              <w:right w:val="nil"/>
            </w:tcBorders>
            <w:vAlign w:val="bottom"/>
          </w:tcPr>
          <w:p w14:paraId="22E4646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2EEBB881"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bottom w:val="nil"/>
              <w:right w:val="nil"/>
            </w:tcBorders>
            <w:vAlign w:val="bottom"/>
          </w:tcPr>
          <w:p w14:paraId="2411E97B"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5E36EB7F"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7BF562D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41DBE8DC" w14:textId="77777777" w:rsidTr="00805111">
        <w:trPr>
          <w:trHeight w:val="225"/>
        </w:trPr>
        <w:tc>
          <w:tcPr>
            <w:tcW w:w="2017" w:type="dxa"/>
            <w:tcBorders>
              <w:top w:val="nil"/>
              <w:left w:val="nil"/>
              <w:bottom w:val="nil"/>
              <w:right w:val="nil"/>
            </w:tcBorders>
            <w:vAlign w:val="bottom"/>
          </w:tcPr>
          <w:p w14:paraId="4B3619E4"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4190" w:type="dxa"/>
            <w:gridSpan w:val="2"/>
            <w:tcBorders>
              <w:top w:val="nil"/>
              <w:left w:val="nil"/>
              <w:bottom w:val="nil"/>
              <w:right w:val="nil"/>
            </w:tcBorders>
            <w:vAlign w:val="bottom"/>
          </w:tcPr>
          <w:p w14:paraId="758C2BDF"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r w:rsidRPr="00805111">
              <w:rPr>
                <w:rFonts w:ascii="Times New Roman" w:hAnsi="Times New Roman" w:cs="Times New Roman"/>
                <w:color w:val="000000"/>
                <w:sz w:val="18"/>
                <w:szCs w:val="18"/>
              </w:rPr>
              <w:t>Weighted Statistics</w:t>
            </w:r>
          </w:p>
        </w:tc>
        <w:tc>
          <w:tcPr>
            <w:tcW w:w="1276" w:type="dxa"/>
            <w:tcBorders>
              <w:top w:val="nil"/>
              <w:left w:val="nil"/>
              <w:bottom w:val="nil"/>
              <w:right w:val="nil"/>
            </w:tcBorders>
            <w:vAlign w:val="bottom"/>
          </w:tcPr>
          <w:p w14:paraId="3A3376A4"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635B5515"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581C6522" w14:textId="77777777" w:rsidTr="00805111">
        <w:trPr>
          <w:trHeight w:hRule="exact" w:val="90"/>
        </w:trPr>
        <w:tc>
          <w:tcPr>
            <w:tcW w:w="2017" w:type="dxa"/>
            <w:tcBorders>
              <w:top w:val="nil"/>
              <w:left w:val="nil"/>
              <w:right w:val="nil"/>
            </w:tcBorders>
            <w:vAlign w:val="bottom"/>
          </w:tcPr>
          <w:p w14:paraId="2C811EC8"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right w:val="nil"/>
            </w:tcBorders>
            <w:vAlign w:val="bottom"/>
          </w:tcPr>
          <w:p w14:paraId="7086B6D8"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right w:val="nil"/>
            </w:tcBorders>
            <w:vAlign w:val="bottom"/>
          </w:tcPr>
          <w:p w14:paraId="7B2174A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right w:val="nil"/>
            </w:tcBorders>
            <w:vAlign w:val="bottom"/>
          </w:tcPr>
          <w:p w14:paraId="4D8511FE"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right w:val="nil"/>
            </w:tcBorders>
            <w:vAlign w:val="bottom"/>
          </w:tcPr>
          <w:p w14:paraId="051029B3"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26138AB7" w14:textId="77777777" w:rsidTr="00805111">
        <w:trPr>
          <w:trHeight w:hRule="exact" w:val="135"/>
        </w:trPr>
        <w:tc>
          <w:tcPr>
            <w:tcW w:w="2017" w:type="dxa"/>
            <w:tcBorders>
              <w:top w:val="nil"/>
              <w:left w:val="nil"/>
              <w:bottom w:val="nil"/>
              <w:right w:val="nil"/>
            </w:tcBorders>
            <w:vAlign w:val="bottom"/>
          </w:tcPr>
          <w:p w14:paraId="5460B08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1C610975"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bottom w:val="nil"/>
              <w:right w:val="nil"/>
            </w:tcBorders>
            <w:vAlign w:val="bottom"/>
          </w:tcPr>
          <w:p w14:paraId="51B47BE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140177A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17580063"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637D06E8" w14:textId="77777777" w:rsidTr="00805111">
        <w:trPr>
          <w:trHeight w:val="225"/>
        </w:trPr>
        <w:tc>
          <w:tcPr>
            <w:tcW w:w="2017" w:type="dxa"/>
            <w:tcBorders>
              <w:top w:val="nil"/>
              <w:left w:val="nil"/>
              <w:bottom w:val="nil"/>
              <w:right w:val="nil"/>
            </w:tcBorders>
            <w:vAlign w:val="bottom"/>
          </w:tcPr>
          <w:p w14:paraId="56BD6386"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R-squared</w:t>
            </w:r>
          </w:p>
        </w:tc>
        <w:tc>
          <w:tcPr>
            <w:tcW w:w="1103" w:type="dxa"/>
            <w:tcBorders>
              <w:top w:val="nil"/>
              <w:left w:val="nil"/>
              <w:bottom w:val="nil"/>
              <w:right w:val="nil"/>
            </w:tcBorders>
            <w:vAlign w:val="bottom"/>
          </w:tcPr>
          <w:p w14:paraId="3A9FEBBD" w14:textId="547CAA02"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0.657141</w:t>
            </w:r>
          </w:p>
        </w:tc>
        <w:tc>
          <w:tcPr>
            <w:tcW w:w="4363" w:type="dxa"/>
            <w:gridSpan w:val="2"/>
            <w:tcBorders>
              <w:top w:val="nil"/>
              <w:left w:val="nil"/>
              <w:bottom w:val="nil"/>
              <w:right w:val="nil"/>
            </w:tcBorders>
            <w:vAlign w:val="bottom"/>
          </w:tcPr>
          <w:p w14:paraId="24238642" w14:textId="77777777" w:rsidR="00F10E29" w:rsidRPr="00805111" w:rsidRDefault="00F10E29" w:rsidP="00FB3FAC">
            <w:pPr>
              <w:autoSpaceDE w:val="0"/>
              <w:autoSpaceDN w:val="0"/>
              <w:adjustRightInd w:val="0"/>
              <w:spacing w:after="0" w:line="240" w:lineRule="auto"/>
              <w:ind w:right="10"/>
              <w:rPr>
                <w:rFonts w:ascii="Times New Roman" w:hAnsi="Times New Roman" w:cs="Times New Roman"/>
                <w:color w:val="000000"/>
                <w:sz w:val="18"/>
                <w:szCs w:val="18"/>
              </w:rPr>
            </w:pPr>
            <w:r w:rsidRPr="00805111">
              <w:rPr>
                <w:rFonts w:ascii="Times New Roman" w:hAnsi="Times New Roman" w:cs="Times New Roman"/>
                <w:color w:val="000000"/>
                <w:sz w:val="18"/>
                <w:szCs w:val="18"/>
              </w:rPr>
              <w:t>    Mean dependent var</w:t>
            </w:r>
          </w:p>
        </w:tc>
        <w:tc>
          <w:tcPr>
            <w:tcW w:w="1559" w:type="dxa"/>
            <w:tcBorders>
              <w:top w:val="nil"/>
              <w:left w:val="nil"/>
              <w:bottom w:val="nil"/>
              <w:right w:val="nil"/>
            </w:tcBorders>
            <w:vAlign w:val="bottom"/>
          </w:tcPr>
          <w:p w14:paraId="60F9A007"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0.030950</w:t>
            </w:r>
          </w:p>
        </w:tc>
      </w:tr>
      <w:tr w:rsidR="00F10E29" w14:paraId="6DE2991A" w14:textId="77777777" w:rsidTr="00805111">
        <w:trPr>
          <w:trHeight w:val="225"/>
        </w:trPr>
        <w:tc>
          <w:tcPr>
            <w:tcW w:w="2017" w:type="dxa"/>
            <w:tcBorders>
              <w:top w:val="nil"/>
              <w:left w:val="nil"/>
              <w:bottom w:val="nil"/>
              <w:right w:val="nil"/>
            </w:tcBorders>
            <w:vAlign w:val="bottom"/>
          </w:tcPr>
          <w:p w14:paraId="4E7EE55F"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Adjusted R-squared</w:t>
            </w:r>
          </w:p>
        </w:tc>
        <w:tc>
          <w:tcPr>
            <w:tcW w:w="1103" w:type="dxa"/>
            <w:tcBorders>
              <w:top w:val="nil"/>
              <w:left w:val="nil"/>
              <w:bottom w:val="nil"/>
              <w:right w:val="nil"/>
            </w:tcBorders>
            <w:vAlign w:val="bottom"/>
          </w:tcPr>
          <w:p w14:paraId="75324759" w14:textId="0F7A761A"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0.535466</w:t>
            </w:r>
          </w:p>
        </w:tc>
        <w:tc>
          <w:tcPr>
            <w:tcW w:w="4363" w:type="dxa"/>
            <w:gridSpan w:val="2"/>
            <w:tcBorders>
              <w:top w:val="nil"/>
              <w:left w:val="nil"/>
              <w:bottom w:val="nil"/>
              <w:right w:val="nil"/>
            </w:tcBorders>
            <w:vAlign w:val="bottom"/>
          </w:tcPr>
          <w:p w14:paraId="24E8195F" w14:textId="77777777" w:rsidR="00F10E29" w:rsidRPr="00805111" w:rsidRDefault="00F10E29" w:rsidP="00FB3FAC">
            <w:pPr>
              <w:autoSpaceDE w:val="0"/>
              <w:autoSpaceDN w:val="0"/>
              <w:adjustRightInd w:val="0"/>
              <w:spacing w:after="0" w:line="240" w:lineRule="auto"/>
              <w:ind w:right="10"/>
              <w:rPr>
                <w:rFonts w:ascii="Times New Roman" w:hAnsi="Times New Roman" w:cs="Times New Roman"/>
                <w:color w:val="000000"/>
                <w:sz w:val="18"/>
                <w:szCs w:val="18"/>
              </w:rPr>
            </w:pPr>
            <w:r w:rsidRPr="00805111">
              <w:rPr>
                <w:rFonts w:ascii="Times New Roman" w:hAnsi="Times New Roman" w:cs="Times New Roman"/>
                <w:color w:val="000000"/>
                <w:sz w:val="18"/>
                <w:szCs w:val="18"/>
              </w:rPr>
              <w:t>    S.D. dependent var</w:t>
            </w:r>
          </w:p>
        </w:tc>
        <w:tc>
          <w:tcPr>
            <w:tcW w:w="1559" w:type="dxa"/>
            <w:tcBorders>
              <w:top w:val="nil"/>
              <w:left w:val="nil"/>
              <w:bottom w:val="nil"/>
              <w:right w:val="nil"/>
            </w:tcBorders>
            <w:vAlign w:val="bottom"/>
          </w:tcPr>
          <w:p w14:paraId="6F1AB019"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0.045161</w:t>
            </w:r>
          </w:p>
        </w:tc>
      </w:tr>
      <w:tr w:rsidR="00F10E29" w14:paraId="515762EE" w14:textId="77777777" w:rsidTr="00805111">
        <w:trPr>
          <w:trHeight w:val="225"/>
        </w:trPr>
        <w:tc>
          <w:tcPr>
            <w:tcW w:w="2017" w:type="dxa"/>
            <w:tcBorders>
              <w:top w:val="nil"/>
              <w:left w:val="nil"/>
              <w:bottom w:val="nil"/>
              <w:right w:val="nil"/>
            </w:tcBorders>
            <w:vAlign w:val="bottom"/>
          </w:tcPr>
          <w:p w14:paraId="29187B8C"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S.E. of regression</w:t>
            </w:r>
          </w:p>
        </w:tc>
        <w:tc>
          <w:tcPr>
            <w:tcW w:w="1103" w:type="dxa"/>
            <w:tcBorders>
              <w:top w:val="nil"/>
              <w:left w:val="nil"/>
              <w:bottom w:val="nil"/>
              <w:right w:val="nil"/>
            </w:tcBorders>
            <w:vAlign w:val="bottom"/>
          </w:tcPr>
          <w:p w14:paraId="2B488280"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0.044353</w:t>
            </w:r>
          </w:p>
        </w:tc>
        <w:tc>
          <w:tcPr>
            <w:tcW w:w="4363" w:type="dxa"/>
            <w:gridSpan w:val="2"/>
            <w:tcBorders>
              <w:top w:val="nil"/>
              <w:left w:val="nil"/>
              <w:bottom w:val="nil"/>
              <w:right w:val="nil"/>
            </w:tcBorders>
            <w:vAlign w:val="bottom"/>
          </w:tcPr>
          <w:p w14:paraId="17C33DC5" w14:textId="77777777" w:rsidR="00F10E29" w:rsidRPr="00805111" w:rsidRDefault="00F10E29" w:rsidP="00FB3FAC">
            <w:pPr>
              <w:autoSpaceDE w:val="0"/>
              <w:autoSpaceDN w:val="0"/>
              <w:adjustRightInd w:val="0"/>
              <w:spacing w:after="0" w:line="240" w:lineRule="auto"/>
              <w:ind w:right="10"/>
              <w:rPr>
                <w:rFonts w:ascii="Times New Roman" w:hAnsi="Times New Roman" w:cs="Times New Roman"/>
                <w:color w:val="000000"/>
                <w:sz w:val="18"/>
                <w:szCs w:val="18"/>
              </w:rPr>
            </w:pPr>
            <w:r w:rsidRPr="00805111">
              <w:rPr>
                <w:rFonts w:ascii="Times New Roman" w:hAnsi="Times New Roman" w:cs="Times New Roman"/>
                <w:color w:val="000000"/>
                <w:sz w:val="18"/>
                <w:szCs w:val="18"/>
              </w:rPr>
              <w:t xml:space="preserve">    Sum squared </w:t>
            </w:r>
            <w:proofErr w:type="spellStart"/>
            <w:r w:rsidRPr="00805111">
              <w:rPr>
                <w:rFonts w:ascii="Times New Roman" w:hAnsi="Times New Roman" w:cs="Times New Roman"/>
                <w:color w:val="000000"/>
                <w:sz w:val="18"/>
                <w:szCs w:val="18"/>
              </w:rPr>
              <w:t>resid</w:t>
            </w:r>
            <w:proofErr w:type="spellEnd"/>
          </w:p>
        </w:tc>
        <w:tc>
          <w:tcPr>
            <w:tcW w:w="1559" w:type="dxa"/>
            <w:tcBorders>
              <w:top w:val="nil"/>
              <w:left w:val="nil"/>
              <w:bottom w:val="nil"/>
              <w:right w:val="nil"/>
            </w:tcBorders>
            <w:vAlign w:val="bottom"/>
          </w:tcPr>
          <w:p w14:paraId="113FA2DB"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0.171143</w:t>
            </w:r>
          </w:p>
        </w:tc>
      </w:tr>
      <w:tr w:rsidR="00F10E29" w14:paraId="2676A828" w14:textId="77777777" w:rsidTr="00805111">
        <w:trPr>
          <w:trHeight w:val="225"/>
        </w:trPr>
        <w:tc>
          <w:tcPr>
            <w:tcW w:w="2017" w:type="dxa"/>
            <w:tcBorders>
              <w:top w:val="nil"/>
              <w:left w:val="nil"/>
              <w:bottom w:val="nil"/>
              <w:right w:val="nil"/>
            </w:tcBorders>
            <w:vAlign w:val="bottom"/>
          </w:tcPr>
          <w:p w14:paraId="207B2738"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F-statistic</w:t>
            </w:r>
          </w:p>
        </w:tc>
        <w:tc>
          <w:tcPr>
            <w:tcW w:w="1103" w:type="dxa"/>
            <w:tcBorders>
              <w:top w:val="nil"/>
              <w:left w:val="nil"/>
              <w:bottom w:val="nil"/>
              <w:right w:val="nil"/>
            </w:tcBorders>
            <w:vAlign w:val="bottom"/>
          </w:tcPr>
          <w:p w14:paraId="2F9C5242"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2.636285</w:t>
            </w:r>
          </w:p>
        </w:tc>
        <w:tc>
          <w:tcPr>
            <w:tcW w:w="4363" w:type="dxa"/>
            <w:gridSpan w:val="2"/>
            <w:tcBorders>
              <w:top w:val="nil"/>
              <w:left w:val="nil"/>
              <w:bottom w:val="nil"/>
              <w:right w:val="nil"/>
            </w:tcBorders>
            <w:vAlign w:val="bottom"/>
          </w:tcPr>
          <w:p w14:paraId="1B0C6953" w14:textId="77777777" w:rsidR="00F10E29" w:rsidRPr="00805111" w:rsidRDefault="00F10E29" w:rsidP="00FB3FAC">
            <w:pPr>
              <w:autoSpaceDE w:val="0"/>
              <w:autoSpaceDN w:val="0"/>
              <w:adjustRightInd w:val="0"/>
              <w:spacing w:after="0" w:line="240" w:lineRule="auto"/>
              <w:ind w:right="10"/>
              <w:rPr>
                <w:rFonts w:ascii="Times New Roman" w:hAnsi="Times New Roman" w:cs="Times New Roman"/>
                <w:color w:val="000000"/>
                <w:sz w:val="18"/>
                <w:szCs w:val="18"/>
              </w:rPr>
            </w:pPr>
            <w:r w:rsidRPr="00805111">
              <w:rPr>
                <w:rFonts w:ascii="Times New Roman" w:hAnsi="Times New Roman" w:cs="Times New Roman"/>
                <w:color w:val="000000"/>
                <w:sz w:val="18"/>
                <w:szCs w:val="18"/>
              </w:rPr>
              <w:t>    Durbin-Watson stat</w:t>
            </w:r>
          </w:p>
        </w:tc>
        <w:tc>
          <w:tcPr>
            <w:tcW w:w="1559" w:type="dxa"/>
            <w:tcBorders>
              <w:top w:val="nil"/>
              <w:left w:val="nil"/>
              <w:bottom w:val="nil"/>
              <w:right w:val="nil"/>
            </w:tcBorders>
            <w:vAlign w:val="bottom"/>
          </w:tcPr>
          <w:p w14:paraId="6AED2378"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1.436471</w:t>
            </w:r>
          </w:p>
        </w:tc>
      </w:tr>
      <w:tr w:rsidR="00F10E29" w14:paraId="558FEB37" w14:textId="77777777" w:rsidTr="00805111">
        <w:trPr>
          <w:trHeight w:val="225"/>
        </w:trPr>
        <w:tc>
          <w:tcPr>
            <w:tcW w:w="2017" w:type="dxa"/>
            <w:tcBorders>
              <w:top w:val="nil"/>
              <w:left w:val="nil"/>
              <w:bottom w:val="nil"/>
              <w:right w:val="nil"/>
            </w:tcBorders>
            <w:vAlign w:val="bottom"/>
          </w:tcPr>
          <w:p w14:paraId="311DE039"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Prob(F-statistic)</w:t>
            </w:r>
          </w:p>
        </w:tc>
        <w:tc>
          <w:tcPr>
            <w:tcW w:w="1103" w:type="dxa"/>
            <w:tcBorders>
              <w:top w:val="nil"/>
              <w:left w:val="nil"/>
              <w:bottom w:val="nil"/>
              <w:right w:val="nil"/>
            </w:tcBorders>
            <w:vAlign w:val="bottom"/>
          </w:tcPr>
          <w:p w14:paraId="622FAE71" w14:textId="04C66279"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0.037344</w:t>
            </w:r>
          </w:p>
        </w:tc>
        <w:tc>
          <w:tcPr>
            <w:tcW w:w="3087" w:type="dxa"/>
            <w:tcBorders>
              <w:top w:val="nil"/>
              <w:left w:val="nil"/>
              <w:bottom w:val="nil"/>
              <w:right w:val="nil"/>
            </w:tcBorders>
            <w:vAlign w:val="bottom"/>
          </w:tcPr>
          <w:p w14:paraId="5A4406AE" w14:textId="77777777" w:rsidR="00F10E29" w:rsidRPr="00805111" w:rsidRDefault="00F10E29" w:rsidP="00FB3FAC">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7EC1350C" w14:textId="77777777" w:rsidR="00F10E29" w:rsidRPr="00805111" w:rsidRDefault="00F10E29" w:rsidP="00FB3FAC">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551D0684" w14:textId="77777777" w:rsidR="00F10E29" w:rsidRPr="00805111" w:rsidRDefault="00F10E29" w:rsidP="00FB3FAC">
            <w:pPr>
              <w:autoSpaceDE w:val="0"/>
              <w:autoSpaceDN w:val="0"/>
              <w:adjustRightInd w:val="0"/>
              <w:spacing w:after="0" w:line="240" w:lineRule="auto"/>
              <w:ind w:right="10"/>
              <w:jc w:val="center"/>
              <w:rPr>
                <w:rFonts w:ascii="Times New Roman" w:hAnsi="Times New Roman" w:cs="Times New Roman"/>
                <w:color w:val="000000"/>
                <w:sz w:val="18"/>
                <w:szCs w:val="18"/>
              </w:rPr>
            </w:pPr>
          </w:p>
        </w:tc>
      </w:tr>
      <w:tr w:rsidR="00F10E29" w14:paraId="0FD4FB9B" w14:textId="77777777" w:rsidTr="00805111">
        <w:trPr>
          <w:trHeight w:hRule="exact" w:val="90"/>
        </w:trPr>
        <w:tc>
          <w:tcPr>
            <w:tcW w:w="2017" w:type="dxa"/>
            <w:tcBorders>
              <w:top w:val="nil"/>
              <w:left w:val="nil"/>
              <w:right w:val="nil"/>
            </w:tcBorders>
            <w:vAlign w:val="bottom"/>
          </w:tcPr>
          <w:p w14:paraId="0D3F811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right w:val="nil"/>
            </w:tcBorders>
            <w:vAlign w:val="bottom"/>
          </w:tcPr>
          <w:p w14:paraId="5847F63E"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right w:val="nil"/>
            </w:tcBorders>
            <w:vAlign w:val="bottom"/>
          </w:tcPr>
          <w:p w14:paraId="5BBE8CC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right w:val="nil"/>
            </w:tcBorders>
            <w:vAlign w:val="bottom"/>
          </w:tcPr>
          <w:p w14:paraId="382B897B"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right w:val="nil"/>
            </w:tcBorders>
            <w:vAlign w:val="bottom"/>
          </w:tcPr>
          <w:p w14:paraId="79460FB1"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73A11D7B" w14:textId="77777777" w:rsidTr="00805111">
        <w:trPr>
          <w:trHeight w:hRule="exact" w:val="135"/>
        </w:trPr>
        <w:tc>
          <w:tcPr>
            <w:tcW w:w="2017" w:type="dxa"/>
            <w:tcBorders>
              <w:top w:val="nil"/>
              <w:left w:val="nil"/>
              <w:bottom w:val="nil"/>
              <w:right w:val="nil"/>
            </w:tcBorders>
            <w:vAlign w:val="bottom"/>
          </w:tcPr>
          <w:p w14:paraId="78C517FC"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3C3624F8"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bottom w:val="nil"/>
              <w:right w:val="nil"/>
            </w:tcBorders>
            <w:vAlign w:val="bottom"/>
          </w:tcPr>
          <w:p w14:paraId="043512D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0320864B"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11CCA9F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29D45AD8" w14:textId="77777777" w:rsidTr="00805111">
        <w:trPr>
          <w:trHeight w:val="225"/>
        </w:trPr>
        <w:tc>
          <w:tcPr>
            <w:tcW w:w="2017" w:type="dxa"/>
            <w:tcBorders>
              <w:top w:val="nil"/>
              <w:left w:val="nil"/>
              <w:bottom w:val="nil"/>
              <w:right w:val="nil"/>
            </w:tcBorders>
            <w:vAlign w:val="bottom"/>
          </w:tcPr>
          <w:p w14:paraId="06F4E3BC"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4190" w:type="dxa"/>
            <w:gridSpan w:val="2"/>
            <w:tcBorders>
              <w:top w:val="nil"/>
              <w:left w:val="nil"/>
              <w:bottom w:val="nil"/>
              <w:right w:val="nil"/>
            </w:tcBorders>
            <w:vAlign w:val="bottom"/>
          </w:tcPr>
          <w:p w14:paraId="7BD1541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r w:rsidRPr="00805111">
              <w:rPr>
                <w:rFonts w:ascii="Times New Roman" w:hAnsi="Times New Roman" w:cs="Times New Roman"/>
                <w:color w:val="000000"/>
                <w:sz w:val="18"/>
                <w:szCs w:val="18"/>
              </w:rPr>
              <w:t>Unweighted Statistics</w:t>
            </w:r>
          </w:p>
        </w:tc>
        <w:tc>
          <w:tcPr>
            <w:tcW w:w="1276" w:type="dxa"/>
            <w:tcBorders>
              <w:top w:val="nil"/>
              <w:left w:val="nil"/>
              <w:bottom w:val="nil"/>
              <w:right w:val="nil"/>
            </w:tcBorders>
            <w:vAlign w:val="bottom"/>
          </w:tcPr>
          <w:p w14:paraId="3414F86C"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238B15E9"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747BEF33" w14:textId="77777777" w:rsidTr="00805111">
        <w:trPr>
          <w:trHeight w:hRule="exact" w:val="90"/>
        </w:trPr>
        <w:tc>
          <w:tcPr>
            <w:tcW w:w="2017" w:type="dxa"/>
            <w:tcBorders>
              <w:top w:val="nil"/>
              <w:left w:val="nil"/>
              <w:right w:val="nil"/>
            </w:tcBorders>
            <w:vAlign w:val="bottom"/>
          </w:tcPr>
          <w:p w14:paraId="52ADEA15"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right w:val="nil"/>
            </w:tcBorders>
            <w:vAlign w:val="bottom"/>
          </w:tcPr>
          <w:p w14:paraId="74FA0AC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right w:val="nil"/>
            </w:tcBorders>
            <w:vAlign w:val="bottom"/>
          </w:tcPr>
          <w:p w14:paraId="377B9A3B"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right w:val="nil"/>
            </w:tcBorders>
            <w:vAlign w:val="bottom"/>
          </w:tcPr>
          <w:p w14:paraId="1BD896B0"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right w:val="nil"/>
            </w:tcBorders>
            <w:vAlign w:val="bottom"/>
          </w:tcPr>
          <w:p w14:paraId="5F199BD4"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7B6E9548" w14:textId="77777777" w:rsidTr="00805111">
        <w:trPr>
          <w:trHeight w:hRule="exact" w:val="135"/>
        </w:trPr>
        <w:tc>
          <w:tcPr>
            <w:tcW w:w="2017" w:type="dxa"/>
            <w:tcBorders>
              <w:top w:val="nil"/>
              <w:left w:val="nil"/>
              <w:bottom w:val="nil"/>
              <w:right w:val="nil"/>
            </w:tcBorders>
            <w:vAlign w:val="bottom"/>
          </w:tcPr>
          <w:p w14:paraId="519479E7"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103" w:type="dxa"/>
            <w:tcBorders>
              <w:top w:val="nil"/>
              <w:left w:val="nil"/>
              <w:bottom w:val="nil"/>
              <w:right w:val="nil"/>
            </w:tcBorders>
            <w:vAlign w:val="bottom"/>
          </w:tcPr>
          <w:p w14:paraId="48156EDB"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3087" w:type="dxa"/>
            <w:tcBorders>
              <w:top w:val="nil"/>
              <w:left w:val="nil"/>
              <w:bottom w:val="nil"/>
              <w:right w:val="nil"/>
            </w:tcBorders>
            <w:vAlign w:val="bottom"/>
          </w:tcPr>
          <w:p w14:paraId="794A9C86"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tcBorders>
              <w:top w:val="nil"/>
              <w:left w:val="nil"/>
              <w:bottom w:val="nil"/>
              <w:right w:val="nil"/>
            </w:tcBorders>
            <w:vAlign w:val="bottom"/>
          </w:tcPr>
          <w:p w14:paraId="3E63C022"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c>
          <w:tcPr>
            <w:tcW w:w="1559" w:type="dxa"/>
            <w:tcBorders>
              <w:top w:val="nil"/>
              <w:left w:val="nil"/>
              <w:bottom w:val="nil"/>
              <w:right w:val="nil"/>
            </w:tcBorders>
            <w:vAlign w:val="bottom"/>
          </w:tcPr>
          <w:p w14:paraId="13CEB125" w14:textId="77777777" w:rsidR="00F10E29" w:rsidRPr="00805111" w:rsidRDefault="00F10E29" w:rsidP="00FB3FAC">
            <w:pPr>
              <w:autoSpaceDE w:val="0"/>
              <w:autoSpaceDN w:val="0"/>
              <w:adjustRightInd w:val="0"/>
              <w:spacing w:after="0" w:line="240" w:lineRule="auto"/>
              <w:jc w:val="center"/>
              <w:rPr>
                <w:rFonts w:ascii="Times New Roman" w:hAnsi="Times New Roman" w:cs="Times New Roman"/>
                <w:color w:val="000000"/>
                <w:sz w:val="18"/>
                <w:szCs w:val="18"/>
              </w:rPr>
            </w:pPr>
          </w:p>
        </w:tc>
      </w:tr>
      <w:tr w:rsidR="00F10E29" w14:paraId="20274CE0" w14:textId="77777777" w:rsidTr="00805111">
        <w:trPr>
          <w:trHeight w:val="225"/>
        </w:trPr>
        <w:tc>
          <w:tcPr>
            <w:tcW w:w="2017" w:type="dxa"/>
            <w:tcBorders>
              <w:top w:val="nil"/>
              <w:left w:val="nil"/>
              <w:right w:val="nil"/>
            </w:tcBorders>
            <w:vAlign w:val="bottom"/>
          </w:tcPr>
          <w:p w14:paraId="5C61D7E0"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R-squared</w:t>
            </w:r>
          </w:p>
        </w:tc>
        <w:tc>
          <w:tcPr>
            <w:tcW w:w="1103" w:type="dxa"/>
            <w:tcBorders>
              <w:top w:val="nil"/>
              <w:left w:val="nil"/>
              <w:right w:val="nil"/>
            </w:tcBorders>
            <w:vAlign w:val="bottom"/>
          </w:tcPr>
          <w:p w14:paraId="30A39BCB"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0.023799</w:t>
            </w:r>
          </w:p>
        </w:tc>
        <w:tc>
          <w:tcPr>
            <w:tcW w:w="4363" w:type="dxa"/>
            <w:gridSpan w:val="2"/>
            <w:tcBorders>
              <w:top w:val="nil"/>
              <w:left w:val="nil"/>
              <w:right w:val="nil"/>
            </w:tcBorders>
            <w:vAlign w:val="bottom"/>
          </w:tcPr>
          <w:p w14:paraId="0F9C9869" w14:textId="77777777" w:rsidR="00F10E29" w:rsidRPr="00805111" w:rsidRDefault="00F10E29" w:rsidP="00FB3FAC">
            <w:pPr>
              <w:autoSpaceDE w:val="0"/>
              <w:autoSpaceDN w:val="0"/>
              <w:adjustRightInd w:val="0"/>
              <w:spacing w:after="0" w:line="240" w:lineRule="auto"/>
              <w:ind w:right="10"/>
              <w:rPr>
                <w:rFonts w:ascii="Times New Roman" w:hAnsi="Times New Roman" w:cs="Times New Roman"/>
                <w:color w:val="000000"/>
                <w:sz w:val="18"/>
                <w:szCs w:val="18"/>
              </w:rPr>
            </w:pPr>
            <w:r w:rsidRPr="00805111">
              <w:rPr>
                <w:rFonts w:ascii="Times New Roman" w:hAnsi="Times New Roman" w:cs="Times New Roman"/>
                <w:color w:val="000000"/>
                <w:sz w:val="18"/>
                <w:szCs w:val="18"/>
              </w:rPr>
              <w:t>    Mean dependent var</w:t>
            </w:r>
          </w:p>
        </w:tc>
        <w:tc>
          <w:tcPr>
            <w:tcW w:w="1559" w:type="dxa"/>
            <w:tcBorders>
              <w:top w:val="nil"/>
              <w:left w:val="nil"/>
              <w:right w:val="nil"/>
            </w:tcBorders>
            <w:vAlign w:val="bottom"/>
          </w:tcPr>
          <w:p w14:paraId="73690D11"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0.051940</w:t>
            </w:r>
          </w:p>
        </w:tc>
      </w:tr>
      <w:tr w:rsidR="00F10E29" w14:paraId="6BEDF111" w14:textId="77777777" w:rsidTr="00805111">
        <w:trPr>
          <w:trHeight w:val="225"/>
        </w:trPr>
        <w:tc>
          <w:tcPr>
            <w:tcW w:w="2017" w:type="dxa"/>
            <w:tcBorders>
              <w:top w:val="nil"/>
              <w:left w:val="nil"/>
              <w:bottom w:val="single" w:sz="4" w:space="0" w:color="auto"/>
              <w:right w:val="nil"/>
            </w:tcBorders>
            <w:vAlign w:val="bottom"/>
          </w:tcPr>
          <w:p w14:paraId="1EBCDF0E" w14:textId="77777777" w:rsidR="00F10E29" w:rsidRPr="00805111" w:rsidRDefault="00F10E29" w:rsidP="00FB3FAC">
            <w:pPr>
              <w:autoSpaceDE w:val="0"/>
              <w:autoSpaceDN w:val="0"/>
              <w:adjustRightInd w:val="0"/>
              <w:spacing w:after="0" w:line="240" w:lineRule="auto"/>
              <w:rPr>
                <w:rFonts w:ascii="Times New Roman" w:hAnsi="Times New Roman" w:cs="Times New Roman"/>
                <w:color w:val="000000"/>
                <w:sz w:val="18"/>
                <w:szCs w:val="18"/>
              </w:rPr>
            </w:pPr>
            <w:r w:rsidRPr="00805111">
              <w:rPr>
                <w:rFonts w:ascii="Times New Roman" w:hAnsi="Times New Roman" w:cs="Times New Roman"/>
                <w:color w:val="000000"/>
                <w:sz w:val="18"/>
                <w:szCs w:val="18"/>
              </w:rPr>
              <w:t xml:space="preserve">Sum squared </w:t>
            </w:r>
            <w:proofErr w:type="spellStart"/>
            <w:r w:rsidRPr="00805111">
              <w:rPr>
                <w:rFonts w:ascii="Times New Roman" w:hAnsi="Times New Roman" w:cs="Times New Roman"/>
                <w:color w:val="000000"/>
                <w:sz w:val="18"/>
                <w:szCs w:val="18"/>
              </w:rPr>
              <w:t>resid</w:t>
            </w:r>
            <w:proofErr w:type="spellEnd"/>
          </w:p>
        </w:tc>
        <w:tc>
          <w:tcPr>
            <w:tcW w:w="1103" w:type="dxa"/>
            <w:tcBorders>
              <w:top w:val="nil"/>
              <w:left w:val="nil"/>
              <w:bottom w:val="single" w:sz="4" w:space="0" w:color="auto"/>
              <w:right w:val="nil"/>
            </w:tcBorders>
            <w:vAlign w:val="bottom"/>
          </w:tcPr>
          <w:p w14:paraId="4EC5DFF8"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0.205240</w:t>
            </w:r>
          </w:p>
        </w:tc>
        <w:tc>
          <w:tcPr>
            <w:tcW w:w="4363" w:type="dxa"/>
            <w:gridSpan w:val="2"/>
            <w:tcBorders>
              <w:top w:val="nil"/>
              <w:left w:val="nil"/>
              <w:bottom w:val="single" w:sz="4" w:space="0" w:color="auto"/>
              <w:right w:val="nil"/>
            </w:tcBorders>
            <w:vAlign w:val="bottom"/>
          </w:tcPr>
          <w:p w14:paraId="182E1CAA" w14:textId="77777777" w:rsidR="00F10E29" w:rsidRPr="00805111" w:rsidRDefault="00F10E29" w:rsidP="00FB3FAC">
            <w:pPr>
              <w:autoSpaceDE w:val="0"/>
              <w:autoSpaceDN w:val="0"/>
              <w:adjustRightInd w:val="0"/>
              <w:spacing w:after="0" w:line="240" w:lineRule="auto"/>
              <w:ind w:right="10"/>
              <w:rPr>
                <w:rFonts w:ascii="Times New Roman" w:hAnsi="Times New Roman" w:cs="Times New Roman"/>
                <w:color w:val="000000"/>
                <w:sz w:val="18"/>
                <w:szCs w:val="18"/>
              </w:rPr>
            </w:pPr>
            <w:r w:rsidRPr="00805111">
              <w:rPr>
                <w:rFonts w:ascii="Times New Roman" w:hAnsi="Times New Roman" w:cs="Times New Roman"/>
                <w:color w:val="000000"/>
                <w:sz w:val="18"/>
                <w:szCs w:val="18"/>
              </w:rPr>
              <w:t>    Durbin-Watson stat</w:t>
            </w:r>
          </w:p>
        </w:tc>
        <w:tc>
          <w:tcPr>
            <w:tcW w:w="1559" w:type="dxa"/>
            <w:tcBorders>
              <w:top w:val="nil"/>
              <w:left w:val="nil"/>
              <w:bottom w:val="single" w:sz="4" w:space="0" w:color="auto"/>
              <w:right w:val="nil"/>
            </w:tcBorders>
            <w:vAlign w:val="bottom"/>
          </w:tcPr>
          <w:p w14:paraId="102B65D2" w14:textId="77777777" w:rsidR="00F10E29" w:rsidRPr="00805111" w:rsidRDefault="00F10E29" w:rsidP="00FB3FAC">
            <w:pPr>
              <w:autoSpaceDE w:val="0"/>
              <w:autoSpaceDN w:val="0"/>
              <w:adjustRightInd w:val="0"/>
              <w:spacing w:after="0" w:line="240" w:lineRule="auto"/>
              <w:ind w:right="10"/>
              <w:jc w:val="right"/>
              <w:rPr>
                <w:rFonts w:ascii="Times New Roman" w:hAnsi="Times New Roman" w:cs="Times New Roman"/>
                <w:color w:val="000000"/>
                <w:sz w:val="18"/>
                <w:szCs w:val="18"/>
              </w:rPr>
            </w:pPr>
            <w:r w:rsidRPr="00805111">
              <w:rPr>
                <w:rFonts w:ascii="Times New Roman" w:hAnsi="Times New Roman" w:cs="Times New Roman"/>
                <w:color w:val="000000"/>
                <w:sz w:val="18"/>
                <w:szCs w:val="18"/>
              </w:rPr>
              <w:t>1.197829</w:t>
            </w:r>
          </w:p>
        </w:tc>
      </w:tr>
      <w:tr w:rsidR="00805111" w14:paraId="2CD9189D" w14:textId="77777777" w:rsidTr="00805111">
        <w:trPr>
          <w:trHeight w:hRule="exact" w:val="90"/>
        </w:trPr>
        <w:tc>
          <w:tcPr>
            <w:tcW w:w="9042" w:type="dxa"/>
            <w:gridSpan w:val="5"/>
            <w:tcBorders>
              <w:top w:val="single" w:sz="4" w:space="0" w:color="auto"/>
              <w:left w:val="nil"/>
              <w:right w:val="nil"/>
            </w:tcBorders>
            <w:vAlign w:val="bottom"/>
          </w:tcPr>
          <w:p w14:paraId="6F766A4E" w14:textId="77777777" w:rsidR="00805111" w:rsidRPr="00805111" w:rsidRDefault="00805111" w:rsidP="00FB3FAC">
            <w:pPr>
              <w:autoSpaceDE w:val="0"/>
              <w:autoSpaceDN w:val="0"/>
              <w:adjustRightInd w:val="0"/>
              <w:spacing w:after="0" w:line="240" w:lineRule="auto"/>
              <w:rPr>
                <w:rFonts w:ascii="Times New Roman" w:hAnsi="Times New Roman" w:cs="Times New Roman"/>
                <w:color w:val="000000"/>
                <w:sz w:val="18"/>
                <w:szCs w:val="18"/>
              </w:rPr>
            </w:pPr>
          </w:p>
        </w:tc>
      </w:tr>
    </w:tbl>
    <w:p w14:paraId="39A144D6" w14:textId="5836D301" w:rsidR="00701A4B" w:rsidRPr="008E0629" w:rsidRDefault="008E0629" w:rsidP="00FB3FAC">
      <w:pPr>
        <w:spacing w:after="0" w:line="360" w:lineRule="auto"/>
        <w:jc w:val="both"/>
        <w:rPr>
          <w:rFonts w:ascii="Times New Roman" w:hAnsi="Times New Roman"/>
          <w:i/>
          <w:sz w:val="24"/>
          <w:szCs w:val="24"/>
        </w:rPr>
      </w:pPr>
      <w:r w:rsidRPr="008E0629">
        <w:rPr>
          <w:rFonts w:ascii="Times New Roman" w:hAnsi="Times New Roman"/>
          <w:b/>
          <w:i/>
          <w:sz w:val="24"/>
          <w:szCs w:val="24"/>
        </w:rPr>
        <w:t>Source:</w:t>
      </w:r>
      <w:r w:rsidRPr="008E0629">
        <w:rPr>
          <w:rFonts w:ascii="Times New Roman" w:hAnsi="Times New Roman"/>
          <w:i/>
          <w:sz w:val="24"/>
          <w:szCs w:val="24"/>
        </w:rPr>
        <w:t xml:space="preserve"> Researcher’s Computation Using E-Views 9.0, 2022</w:t>
      </w:r>
    </w:p>
    <w:p w14:paraId="51A43F28" w14:textId="77777777" w:rsidR="00145EF2" w:rsidRDefault="00145EF2" w:rsidP="00FB3FAC">
      <w:pPr>
        <w:spacing w:after="0" w:line="360" w:lineRule="auto"/>
        <w:jc w:val="both"/>
        <w:rPr>
          <w:rFonts w:ascii="Times New Roman" w:hAnsi="Times New Roman"/>
          <w:sz w:val="24"/>
          <w:szCs w:val="24"/>
        </w:rPr>
      </w:pPr>
    </w:p>
    <w:p w14:paraId="2496682B" w14:textId="4D04F127" w:rsidR="005A78A7" w:rsidRDefault="00701A4B" w:rsidP="00FB3FAC">
      <w:pPr>
        <w:spacing w:after="0" w:line="360" w:lineRule="auto"/>
        <w:jc w:val="both"/>
        <w:rPr>
          <w:rFonts w:ascii="Times New Roman" w:hAnsi="Times New Roman"/>
          <w:sz w:val="24"/>
          <w:szCs w:val="24"/>
        </w:rPr>
      </w:pPr>
      <w:r>
        <w:rPr>
          <w:rFonts w:ascii="Times New Roman" w:hAnsi="Times New Roman"/>
          <w:sz w:val="24"/>
          <w:szCs w:val="24"/>
        </w:rPr>
        <w:t xml:space="preserve">The regression result shows that the model is fit for the study since the f-statistics is significant at </w:t>
      </w:r>
      <w:r w:rsidR="00C03CFB">
        <w:rPr>
          <w:rFonts w:ascii="Times New Roman" w:hAnsi="Times New Roman"/>
          <w:sz w:val="24"/>
          <w:szCs w:val="24"/>
        </w:rPr>
        <w:t xml:space="preserve">a </w:t>
      </w:r>
      <w:r>
        <w:rPr>
          <w:rFonts w:ascii="Times New Roman" w:hAnsi="Times New Roman"/>
          <w:sz w:val="24"/>
          <w:szCs w:val="24"/>
        </w:rPr>
        <w:t xml:space="preserve">5% level of significance. The result also shows that </w:t>
      </w:r>
      <w:r w:rsidR="00EE65D6">
        <w:rPr>
          <w:rFonts w:ascii="Times New Roman" w:hAnsi="Times New Roman"/>
          <w:sz w:val="24"/>
          <w:szCs w:val="24"/>
        </w:rPr>
        <w:t>ownership concentration (</w:t>
      </w:r>
      <w:r w:rsidR="00C81DFA">
        <w:rPr>
          <w:rFonts w:ascii="Times New Roman" w:hAnsi="Times New Roman"/>
          <w:sz w:val="24"/>
          <w:szCs w:val="24"/>
        </w:rPr>
        <w:t>OW</w:t>
      </w:r>
      <w:r w:rsidR="00717CAC">
        <w:rPr>
          <w:rFonts w:ascii="Times New Roman" w:hAnsi="Times New Roman"/>
          <w:sz w:val="24"/>
          <w:szCs w:val="24"/>
        </w:rPr>
        <w:t>C</w:t>
      </w:r>
      <w:r w:rsidR="00C81DFA">
        <w:rPr>
          <w:rFonts w:ascii="Times New Roman" w:hAnsi="Times New Roman"/>
          <w:sz w:val="24"/>
          <w:szCs w:val="24"/>
        </w:rPr>
        <w:t xml:space="preserve">) </w:t>
      </w:r>
      <w:r>
        <w:rPr>
          <w:rFonts w:ascii="Times New Roman" w:hAnsi="Times New Roman"/>
          <w:sz w:val="24"/>
          <w:szCs w:val="24"/>
        </w:rPr>
        <w:t xml:space="preserve">has </w:t>
      </w:r>
      <w:r w:rsidR="00C03CFB">
        <w:rPr>
          <w:rFonts w:ascii="Times New Roman" w:hAnsi="Times New Roman"/>
          <w:sz w:val="24"/>
          <w:szCs w:val="24"/>
        </w:rPr>
        <w:t xml:space="preserve">a </w:t>
      </w:r>
      <w:r w:rsidR="00EE65D6">
        <w:rPr>
          <w:rFonts w:ascii="Times New Roman" w:hAnsi="Times New Roman"/>
          <w:sz w:val="24"/>
          <w:szCs w:val="24"/>
        </w:rPr>
        <w:t xml:space="preserve">negative </w:t>
      </w:r>
      <w:r>
        <w:rPr>
          <w:rFonts w:ascii="Times New Roman" w:hAnsi="Times New Roman"/>
          <w:sz w:val="24"/>
          <w:szCs w:val="24"/>
        </w:rPr>
        <w:t>effect on</w:t>
      </w:r>
      <w:r w:rsidR="00EE65D6">
        <w:rPr>
          <w:rFonts w:ascii="Times New Roman" w:hAnsi="Times New Roman"/>
          <w:sz w:val="24"/>
          <w:szCs w:val="24"/>
        </w:rPr>
        <w:t xml:space="preserve"> </w:t>
      </w:r>
      <w:r w:rsidR="00C03CFB">
        <w:rPr>
          <w:rFonts w:ascii="Times New Roman" w:hAnsi="Times New Roman"/>
          <w:sz w:val="24"/>
          <w:szCs w:val="24"/>
        </w:rPr>
        <w:t xml:space="preserve">a </w:t>
      </w:r>
      <w:r w:rsidR="00EE65D6">
        <w:rPr>
          <w:rFonts w:ascii="Times New Roman" w:hAnsi="Times New Roman"/>
          <w:sz w:val="24"/>
          <w:szCs w:val="24"/>
        </w:rPr>
        <w:t>non-performing loan</w:t>
      </w:r>
      <w:r w:rsidR="00C03CFB">
        <w:rPr>
          <w:rFonts w:ascii="Times New Roman" w:hAnsi="Times New Roman"/>
          <w:sz w:val="24"/>
          <w:szCs w:val="24"/>
        </w:rPr>
        <w:t>s</w:t>
      </w:r>
      <w:r w:rsidR="00EE65D6">
        <w:rPr>
          <w:rFonts w:ascii="Times New Roman" w:hAnsi="Times New Roman"/>
          <w:sz w:val="24"/>
          <w:szCs w:val="24"/>
        </w:rPr>
        <w:t xml:space="preserve"> of deposit money banks in Nigeria </w:t>
      </w:r>
      <w:r>
        <w:rPr>
          <w:rFonts w:ascii="Times New Roman" w:hAnsi="Times New Roman"/>
          <w:sz w:val="24"/>
          <w:szCs w:val="24"/>
        </w:rPr>
        <w:t xml:space="preserve">while </w:t>
      </w:r>
      <w:r w:rsidR="00EE65D6">
        <w:rPr>
          <w:rFonts w:ascii="Times New Roman" w:hAnsi="Times New Roman"/>
          <w:sz w:val="24"/>
          <w:szCs w:val="24"/>
        </w:rPr>
        <w:t xml:space="preserve">bank size </w:t>
      </w:r>
      <w:r>
        <w:rPr>
          <w:rFonts w:ascii="Times New Roman" w:hAnsi="Times New Roman"/>
          <w:sz w:val="24"/>
          <w:szCs w:val="24"/>
        </w:rPr>
        <w:t xml:space="preserve">also has </w:t>
      </w:r>
      <w:r w:rsidR="00C03CFB">
        <w:rPr>
          <w:rFonts w:ascii="Times New Roman" w:hAnsi="Times New Roman"/>
          <w:sz w:val="24"/>
          <w:szCs w:val="24"/>
        </w:rPr>
        <w:t xml:space="preserve">a </w:t>
      </w:r>
      <w:r w:rsidR="00EE65D6">
        <w:rPr>
          <w:rFonts w:ascii="Times New Roman" w:hAnsi="Times New Roman"/>
          <w:sz w:val="24"/>
          <w:szCs w:val="24"/>
        </w:rPr>
        <w:t xml:space="preserve">positive </w:t>
      </w:r>
      <w:r>
        <w:rPr>
          <w:rFonts w:ascii="Times New Roman" w:hAnsi="Times New Roman"/>
          <w:sz w:val="24"/>
          <w:szCs w:val="24"/>
        </w:rPr>
        <w:t xml:space="preserve">effect on </w:t>
      </w:r>
      <w:r w:rsidR="00C03CFB">
        <w:rPr>
          <w:rFonts w:ascii="Times New Roman" w:hAnsi="Times New Roman"/>
          <w:sz w:val="24"/>
          <w:szCs w:val="24"/>
        </w:rPr>
        <w:t xml:space="preserve">a </w:t>
      </w:r>
      <w:r w:rsidR="00EE65D6">
        <w:rPr>
          <w:rFonts w:ascii="Times New Roman" w:hAnsi="Times New Roman"/>
          <w:sz w:val="24"/>
          <w:szCs w:val="24"/>
        </w:rPr>
        <w:t>non-performing loan</w:t>
      </w:r>
      <w:r w:rsidR="00C03CFB">
        <w:rPr>
          <w:rFonts w:ascii="Times New Roman" w:hAnsi="Times New Roman"/>
          <w:sz w:val="24"/>
          <w:szCs w:val="24"/>
        </w:rPr>
        <w:t>s</w:t>
      </w:r>
      <w:r w:rsidR="00EE65D6">
        <w:rPr>
          <w:rFonts w:ascii="Times New Roman" w:hAnsi="Times New Roman"/>
          <w:sz w:val="24"/>
          <w:szCs w:val="24"/>
        </w:rPr>
        <w:t xml:space="preserve"> of deposit money banks in Nigeria</w:t>
      </w:r>
      <w:r>
        <w:rPr>
          <w:rFonts w:ascii="Times New Roman" w:hAnsi="Times New Roman"/>
          <w:sz w:val="24"/>
          <w:szCs w:val="24"/>
        </w:rPr>
        <w:t>. These effects are significant</w:t>
      </w:r>
      <w:r w:rsidR="00EE65D6">
        <w:rPr>
          <w:rFonts w:ascii="Times New Roman" w:hAnsi="Times New Roman"/>
          <w:sz w:val="24"/>
          <w:szCs w:val="24"/>
        </w:rPr>
        <w:t xml:space="preserve"> and insignificant</w:t>
      </w:r>
      <w:r>
        <w:rPr>
          <w:rFonts w:ascii="Times New Roman" w:hAnsi="Times New Roman"/>
          <w:sz w:val="24"/>
          <w:szCs w:val="24"/>
        </w:rPr>
        <w:t xml:space="preserve"> since the P-value</w:t>
      </w:r>
      <w:r w:rsidR="00EE65D6">
        <w:rPr>
          <w:rFonts w:ascii="Times New Roman" w:hAnsi="Times New Roman"/>
          <w:sz w:val="24"/>
          <w:szCs w:val="24"/>
        </w:rPr>
        <w:t xml:space="preserve"> is</w:t>
      </w:r>
      <w:r>
        <w:rPr>
          <w:rFonts w:ascii="Times New Roman" w:hAnsi="Times New Roman"/>
          <w:sz w:val="24"/>
          <w:szCs w:val="24"/>
        </w:rPr>
        <w:t xml:space="preserve"> less</w:t>
      </w:r>
      <w:r w:rsidR="00EE65D6">
        <w:rPr>
          <w:rFonts w:ascii="Times New Roman" w:hAnsi="Times New Roman"/>
          <w:sz w:val="24"/>
          <w:szCs w:val="24"/>
        </w:rPr>
        <w:t xml:space="preserve"> or greater</w:t>
      </w:r>
      <w:r>
        <w:rPr>
          <w:rFonts w:ascii="Times New Roman" w:hAnsi="Times New Roman"/>
          <w:sz w:val="24"/>
          <w:szCs w:val="24"/>
        </w:rPr>
        <w:t xml:space="preserve"> than 5%. </w:t>
      </w:r>
    </w:p>
    <w:p w14:paraId="22196C0F" w14:textId="77777777" w:rsidR="00FB3FAC" w:rsidRDefault="00FB3FAC" w:rsidP="00FB3FAC">
      <w:pPr>
        <w:spacing w:after="0" w:line="360" w:lineRule="auto"/>
        <w:jc w:val="both"/>
        <w:rPr>
          <w:rFonts w:ascii="Times New Roman" w:hAnsi="Times New Roman"/>
          <w:sz w:val="24"/>
          <w:szCs w:val="24"/>
        </w:rPr>
      </w:pPr>
    </w:p>
    <w:p w14:paraId="7EF3EFFF" w14:textId="38189503" w:rsidR="00701A4B" w:rsidRPr="000104BE" w:rsidRDefault="005A78A7" w:rsidP="00FB3FAC">
      <w:pPr>
        <w:spacing w:after="0" w:line="360" w:lineRule="auto"/>
        <w:jc w:val="both"/>
        <w:rPr>
          <w:rFonts w:ascii="Times New Roman" w:hAnsi="Times New Roman"/>
          <w:sz w:val="24"/>
          <w:szCs w:val="24"/>
        </w:rPr>
      </w:pPr>
      <w:r>
        <w:rPr>
          <w:rFonts w:ascii="Times New Roman" w:hAnsi="Times New Roman"/>
          <w:sz w:val="24"/>
          <w:szCs w:val="24"/>
        </w:rPr>
        <w:t>Thus, the paper</w:t>
      </w:r>
      <w:r w:rsidR="00701A4B">
        <w:rPr>
          <w:rFonts w:ascii="Times New Roman" w:hAnsi="Times New Roman"/>
          <w:sz w:val="24"/>
          <w:szCs w:val="24"/>
        </w:rPr>
        <w:t xml:space="preserve"> </w:t>
      </w:r>
      <w:proofErr w:type="gramStart"/>
      <w:r w:rsidR="00701A4B">
        <w:rPr>
          <w:rFonts w:ascii="Times New Roman" w:hAnsi="Times New Roman"/>
          <w:sz w:val="24"/>
          <w:szCs w:val="24"/>
        </w:rPr>
        <w:t>reject</w:t>
      </w:r>
      <w:proofErr w:type="gramEnd"/>
      <w:r w:rsidR="00701A4B">
        <w:rPr>
          <w:rFonts w:ascii="Times New Roman" w:hAnsi="Times New Roman"/>
          <w:sz w:val="24"/>
          <w:szCs w:val="24"/>
        </w:rPr>
        <w:t xml:space="preserve"> the null hypotheses and conclude that </w:t>
      </w:r>
      <w:r w:rsidR="00EE65D6">
        <w:rPr>
          <w:rFonts w:ascii="Times New Roman" w:hAnsi="Times New Roman"/>
          <w:sz w:val="24"/>
          <w:szCs w:val="24"/>
        </w:rPr>
        <w:t>ownership concentration (O</w:t>
      </w:r>
      <w:r w:rsidR="00664407">
        <w:rPr>
          <w:rFonts w:ascii="Times New Roman" w:hAnsi="Times New Roman"/>
          <w:sz w:val="24"/>
          <w:szCs w:val="24"/>
        </w:rPr>
        <w:t>WC</w:t>
      </w:r>
      <w:r w:rsidR="00EE65D6">
        <w:rPr>
          <w:rFonts w:ascii="Times New Roman" w:hAnsi="Times New Roman"/>
          <w:sz w:val="24"/>
          <w:szCs w:val="24"/>
        </w:rPr>
        <w:t xml:space="preserve">) has </w:t>
      </w:r>
      <w:r w:rsidR="00C03CFB">
        <w:rPr>
          <w:rFonts w:ascii="Times New Roman" w:hAnsi="Times New Roman"/>
          <w:sz w:val="24"/>
          <w:szCs w:val="24"/>
        </w:rPr>
        <w:t xml:space="preserve">a </w:t>
      </w:r>
      <w:r w:rsidR="00EE65D6">
        <w:rPr>
          <w:rFonts w:ascii="Times New Roman" w:hAnsi="Times New Roman"/>
          <w:sz w:val="24"/>
          <w:szCs w:val="24"/>
        </w:rPr>
        <w:t xml:space="preserve">negative and significant effect on </w:t>
      </w:r>
      <w:r w:rsidR="00C03CFB">
        <w:rPr>
          <w:rFonts w:ascii="Times New Roman" w:hAnsi="Times New Roman"/>
          <w:sz w:val="24"/>
          <w:szCs w:val="24"/>
        </w:rPr>
        <w:t xml:space="preserve">a </w:t>
      </w:r>
      <w:r w:rsidR="00EE65D6">
        <w:rPr>
          <w:rFonts w:ascii="Times New Roman" w:hAnsi="Times New Roman"/>
          <w:sz w:val="24"/>
          <w:szCs w:val="24"/>
        </w:rPr>
        <w:t>non-performing loan</w:t>
      </w:r>
      <w:r w:rsidR="00C03CFB">
        <w:rPr>
          <w:rFonts w:ascii="Times New Roman" w:hAnsi="Times New Roman"/>
          <w:sz w:val="24"/>
          <w:szCs w:val="24"/>
        </w:rPr>
        <w:t>s</w:t>
      </w:r>
      <w:r w:rsidR="00EE65D6">
        <w:rPr>
          <w:rFonts w:ascii="Times New Roman" w:hAnsi="Times New Roman"/>
          <w:sz w:val="24"/>
          <w:szCs w:val="24"/>
        </w:rPr>
        <w:t xml:space="preserve"> of deposit money banks in Nigeria</w:t>
      </w:r>
      <w:r w:rsidR="00701A4B">
        <w:rPr>
          <w:rFonts w:ascii="Times New Roman" w:hAnsi="Times New Roman"/>
          <w:sz w:val="24"/>
          <w:szCs w:val="24"/>
        </w:rPr>
        <w:t xml:space="preserve">. Also, </w:t>
      </w:r>
      <w:r w:rsidR="00EE65D6">
        <w:rPr>
          <w:rFonts w:ascii="Times New Roman" w:hAnsi="Times New Roman"/>
          <w:sz w:val="24"/>
          <w:szCs w:val="24"/>
        </w:rPr>
        <w:t xml:space="preserve">bank size has </w:t>
      </w:r>
      <w:r w:rsidR="00C03CFB">
        <w:rPr>
          <w:rFonts w:ascii="Times New Roman" w:hAnsi="Times New Roman"/>
          <w:sz w:val="24"/>
          <w:szCs w:val="24"/>
        </w:rPr>
        <w:t xml:space="preserve">a </w:t>
      </w:r>
      <w:r w:rsidR="00EE65D6">
        <w:rPr>
          <w:rFonts w:ascii="Times New Roman" w:hAnsi="Times New Roman"/>
          <w:sz w:val="24"/>
          <w:szCs w:val="24"/>
        </w:rPr>
        <w:t xml:space="preserve">positive and insignificant effect on </w:t>
      </w:r>
      <w:r w:rsidR="00C03CFB">
        <w:rPr>
          <w:rFonts w:ascii="Times New Roman" w:hAnsi="Times New Roman"/>
          <w:sz w:val="24"/>
          <w:szCs w:val="24"/>
        </w:rPr>
        <w:t xml:space="preserve">a </w:t>
      </w:r>
      <w:r w:rsidR="00EE65D6">
        <w:rPr>
          <w:rFonts w:ascii="Times New Roman" w:hAnsi="Times New Roman"/>
          <w:sz w:val="24"/>
          <w:szCs w:val="24"/>
        </w:rPr>
        <w:t>non-performing loan</w:t>
      </w:r>
      <w:r w:rsidR="00C03CFB">
        <w:rPr>
          <w:rFonts w:ascii="Times New Roman" w:hAnsi="Times New Roman"/>
          <w:sz w:val="24"/>
          <w:szCs w:val="24"/>
        </w:rPr>
        <w:t>s</w:t>
      </w:r>
      <w:r w:rsidR="00EE65D6">
        <w:rPr>
          <w:rFonts w:ascii="Times New Roman" w:hAnsi="Times New Roman"/>
          <w:sz w:val="24"/>
          <w:szCs w:val="24"/>
        </w:rPr>
        <w:t xml:space="preserve"> of deposit money banks in Nigeria</w:t>
      </w:r>
      <w:r w:rsidR="00701A4B">
        <w:rPr>
          <w:rFonts w:ascii="Times New Roman" w:hAnsi="Times New Roman"/>
          <w:sz w:val="24"/>
          <w:szCs w:val="24"/>
        </w:rPr>
        <w:t>.</w:t>
      </w:r>
      <w:r>
        <w:rPr>
          <w:rFonts w:ascii="Times New Roman" w:hAnsi="Times New Roman"/>
          <w:sz w:val="24"/>
          <w:szCs w:val="24"/>
        </w:rPr>
        <w:t xml:space="preserve"> </w:t>
      </w:r>
      <w:r w:rsidR="00701A4B" w:rsidRPr="009D49BE">
        <w:rPr>
          <w:rFonts w:ascii="Times New Roman" w:hAnsi="Times New Roman"/>
          <w:sz w:val="24"/>
          <w:szCs w:val="24"/>
        </w:rPr>
        <w:t>The R</w:t>
      </w:r>
      <w:r w:rsidR="00701A4B" w:rsidRPr="009D49BE">
        <w:rPr>
          <w:rFonts w:ascii="Times New Roman" w:hAnsi="Times New Roman"/>
          <w:sz w:val="24"/>
          <w:szCs w:val="24"/>
          <w:vertAlign w:val="superscript"/>
        </w:rPr>
        <w:t>2</w:t>
      </w:r>
      <w:r w:rsidR="00701A4B" w:rsidRPr="009D49BE">
        <w:rPr>
          <w:rFonts w:ascii="Times New Roman" w:hAnsi="Times New Roman"/>
          <w:sz w:val="24"/>
          <w:szCs w:val="24"/>
        </w:rPr>
        <w:t xml:space="preserve"> = 0</w:t>
      </w:r>
      <w:r w:rsidR="00701A4B">
        <w:rPr>
          <w:rFonts w:ascii="Times New Roman" w:hAnsi="Times New Roman"/>
          <w:sz w:val="24"/>
          <w:szCs w:val="24"/>
        </w:rPr>
        <w:t>.</w:t>
      </w:r>
      <w:r w:rsidR="00CB1FF5">
        <w:rPr>
          <w:rFonts w:ascii="Times New Roman" w:hAnsi="Times New Roman"/>
          <w:sz w:val="24"/>
          <w:szCs w:val="24"/>
        </w:rPr>
        <w:t>65</w:t>
      </w:r>
      <w:r w:rsidR="00701A4B" w:rsidRPr="009D49BE">
        <w:rPr>
          <w:rFonts w:ascii="Times New Roman" w:hAnsi="Times New Roman"/>
          <w:sz w:val="24"/>
          <w:szCs w:val="24"/>
        </w:rPr>
        <w:t xml:space="preserve"> indicates that onl</w:t>
      </w:r>
      <w:r w:rsidR="00701A4B">
        <w:rPr>
          <w:rFonts w:ascii="Times New Roman" w:hAnsi="Times New Roman"/>
          <w:sz w:val="24"/>
          <w:szCs w:val="24"/>
        </w:rPr>
        <w:t xml:space="preserve">y </w:t>
      </w:r>
      <w:r w:rsidR="00CB1FF5">
        <w:rPr>
          <w:rFonts w:ascii="Times New Roman" w:hAnsi="Times New Roman"/>
          <w:sz w:val="24"/>
          <w:szCs w:val="24"/>
        </w:rPr>
        <w:t>6</w:t>
      </w:r>
      <w:r w:rsidR="00701A4B">
        <w:rPr>
          <w:rFonts w:ascii="Times New Roman" w:hAnsi="Times New Roman"/>
          <w:sz w:val="24"/>
          <w:szCs w:val="24"/>
        </w:rPr>
        <w:t>5</w:t>
      </w:r>
      <w:r w:rsidR="00701A4B" w:rsidRPr="009D49BE">
        <w:rPr>
          <w:rFonts w:ascii="Times New Roman" w:hAnsi="Times New Roman"/>
          <w:sz w:val="24"/>
          <w:szCs w:val="24"/>
        </w:rPr>
        <w:t xml:space="preserve">% of variation on </w:t>
      </w:r>
      <w:r w:rsidR="00CB1FF5">
        <w:rPr>
          <w:rFonts w:ascii="Times New Roman" w:hAnsi="Times New Roman"/>
          <w:sz w:val="24"/>
          <w:szCs w:val="24"/>
        </w:rPr>
        <w:t xml:space="preserve">ownership concentration </w:t>
      </w:r>
      <w:r w:rsidR="00701A4B" w:rsidRPr="009D49BE">
        <w:rPr>
          <w:rFonts w:ascii="Times New Roman" w:hAnsi="Times New Roman"/>
          <w:sz w:val="24"/>
          <w:szCs w:val="24"/>
        </w:rPr>
        <w:t xml:space="preserve">can be used to explain </w:t>
      </w:r>
      <w:r w:rsidR="00CB1FF5">
        <w:rPr>
          <w:rFonts w:ascii="Times New Roman" w:hAnsi="Times New Roman"/>
          <w:sz w:val="24"/>
          <w:szCs w:val="24"/>
        </w:rPr>
        <w:t>non-performing loan</w:t>
      </w:r>
      <w:r w:rsidR="00C03CFB">
        <w:rPr>
          <w:rFonts w:ascii="Times New Roman" w:hAnsi="Times New Roman"/>
          <w:sz w:val="24"/>
          <w:szCs w:val="24"/>
        </w:rPr>
        <w:t>s</w:t>
      </w:r>
      <w:r w:rsidR="00CB1FF5">
        <w:rPr>
          <w:rFonts w:ascii="Times New Roman" w:hAnsi="Times New Roman"/>
          <w:sz w:val="24"/>
          <w:szCs w:val="24"/>
        </w:rPr>
        <w:t xml:space="preserve"> of deposit money banks in Nigeria </w:t>
      </w:r>
      <w:r w:rsidR="00701A4B">
        <w:rPr>
          <w:rFonts w:ascii="Times New Roman" w:hAnsi="Times New Roman"/>
          <w:sz w:val="24"/>
          <w:szCs w:val="24"/>
        </w:rPr>
        <w:t xml:space="preserve">but </w:t>
      </w:r>
      <w:r w:rsidR="00194EED">
        <w:rPr>
          <w:rFonts w:ascii="Times New Roman" w:hAnsi="Times New Roman"/>
          <w:sz w:val="24"/>
          <w:szCs w:val="24"/>
        </w:rPr>
        <w:t>35</w:t>
      </w:r>
      <w:r w:rsidR="00701A4B">
        <w:rPr>
          <w:rFonts w:ascii="Times New Roman" w:hAnsi="Times New Roman"/>
          <w:sz w:val="24"/>
          <w:szCs w:val="24"/>
        </w:rPr>
        <w:t>% can be explained</w:t>
      </w:r>
      <w:r w:rsidR="00701A4B" w:rsidRPr="009D49BE">
        <w:rPr>
          <w:rFonts w:ascii="Times New Roman" w:hAnsi="Times New Roman"/>
          <w:sz w:val="24"/>
          <w:szCs w:val="24"/>
        </w:rPr>
        <w:t xml:space="preserve"> by other factors not noted in the regression model which is refer</w:t>
      </w:r>
      <w:r w:rsidR="00701A4B">
        <w:rPr>
          <w:rFonts w:ascii="Times New Roman" w:hAnsi="Times New Roman"/>
          <w:sz w:val="24"/>
          <w:szCs w:val="24"/>
        </w:rPr>
        <w:t>red</w:t>
      </w:r>
      <w:r w:rsidR="00701A4B" w:rsidRPr="009D49BE">
        <w:rPr>
          <w:rFonts w:ascii="Times New Roman" w:hAnsi="Times New Roman"/>
          <w:sz w:val="24"/>
          <w:szCs w:val="24"/>
        </w:rPr>
        <w:t xml:space="preserve"> to as error term. </w:t>
      </w:r>
    </w:p>
    <w:p w14:paraId="3433FD63" w14:textId="77777777" w:rsidR="00FB3FAC" w:rsidRDefault="00FB3FAC" w:rsidP="00FB3FAC">
      <w:pPr>
        <w:autoSpaceDE w:val="0"/>
        <w:autoSpaceDN w:val="0"/>
        <w:adjustRightInd w:val="0"/>
        <w:spacing w:after="0" w:line="360" w:lineRule="auto"/>
        <w:ind w:right="8"/>
        <w:jc w:val="both"/>
        <w:rPr>
          <w:rFonts w:ascii="Times New Roman" w:hAnsi="Times New Roman"/>
          <w:b/>
          <w:sz w:val="24"/>
          <w:szCs w:val="24"/>
        </w:rPr>
      </w:pPr>
    </w:p>
    <w:p w14:paraId="7EFD3CE3" w14:textId="0AD8A4B9" w:rsidR="00CF02F2" w:rsidRDefault="003E2ECD" w:rsidP="00FB3FAC">
      <w:pPr>
        <w:autoSpaceDE w:val="0"/>
        <w:autoSpaceDN w:val="0"/>
        <w:adjustRightInd w:val="0"/>
        <w:spacing w:after="0" w:line="360" w:lineRule="auto"/>
        <w:ind w:right="8"/>
        <w:jc w:val="both"/>
        <w:rPr>
          <w:rFonts w:ascii="Times New Roman" w:hAnsi="Times New Roman"/>
          <w:b/>
          <w:sz w:val="24"/>
          <w:szCs w:val="24"/>
        </w:rPr>
      </w:pPr>
      <w:r>
        <w:rPr>
          <w:rFonts w:ascii="Times New Roman" w:hAnsi="Times New Roman"/>
          <w:b/>
          <w:sz w:val="24"/>
          <w:szCs w:val="24"/>
        </w:rPr>
        <w:t xml:space="preserve">Discussion of Result Findings </w:t>
      </w:r>
    </w:p>
    <w:p w14:paraId="2FE379D4" w14:textId="4334F3C4" w:rsidR="00CF02F2" w:rsidRDefault="00701A4B" w:rsidP="00FB3FAC">
      <w:pPr>
        <w:autoSpaceDE w:val="0"/>
        <w:autoSpaceDN w:val="0"/>
        <w:adjustRightInd w:val="0"/>
        <w:spacing w:after="0" w:line="360" w:lineRule="auto"/>
        <w:ind w:right="8"/>
        <w:jc w:val="both"/>
        <w:rPr>
          <w:rFonts w:ascii="Times New Roman" w:hAnsi="Times New Roman" w:cs="Times New Roman"/>
          <w:sz w:val="24"/>
          <w:szCs w:val="24"/>
        </w:rPr>
      </w:pPr>
      <w:r w:rsidRPr="00B35C99">
        <w:rPr>
          <w:rFonts w:ascii="Times New Roman" w:hAnsi="Times New Roman"/>
          <w:sz w:val="24"/>
          <w:szCs w:val="24"/>
        </w:rPr>
        <w:t xml:space="preserve">The study found </w:t>
      </w:r>
      <w:r>
        <w:rPr>
          <w:rFonts w:ascii="Times New Roman" w:hAnsi="Times New Roman"/>
          <w:sz w:val="24"/>
          <w:szCs w:val="24"/>
        </w:rPr>
        <w:t xml:space="preserve">that </w:t>
      </w:r>
      <w:r w:rsidR="00194EED">
        <w:rPr>
          <w:rFonts w:ascii="Times New Roman" w:hAnsi="Times New Roman"/>
          <w:sz w:val="24"/>
          <w:szCs w:val="24"/>
        </w:rPr>
        <w:t>ownership concentration (O</w:t>
      </w:r>
      <w:r w:rsidR="0014572F">
        <w:rPr>
          <w:rFonts w:ascii="Times New Roman" w:hAnsi="Times New Roman"/>
          <w:sz w:val="24"/>
          <w:szCs w:val="24"/>
        </w:rPr>
        <w:t>WC</w:t>
      </w:r>
      <w:r w:rsidR="00194EED">
        <w:rPr>
          <w:rFonts w:ascii="Times New Roman" w:hAnsi="Times New Roman"/>
          <w:sz w:val="24"/>
          <w:szCs w:val="24"/>
        </w:rPr>
        <w:t xml:space="preserve">) has </w:t>
      </w:r>
      <w:r w:rsidR="00C03CFB">
        <w:rPr>
          <w:rFonts w:ascii="Times New Roman" w:hAnsi="Times New Roman"/>
          <w:sz w:val="24"/>
          <w:szCs w:val="24"/>
        </w:rPr>
        <w:t xml:space="preserve">a </w:t>
      </w:r>
      <w:r w:rsidR="00194EED">
        <w:rPr>
          <w:rFonts w:ascii="Times New Roman" w:hAnsi="Times New Roman"/>
          <w:sz w:val="24"/>
          <w:szCs w:val="24"/>
        </w:rPr>
        <w:t xml:space="preserve">negative and significant effect on </w:t>
      </w:r>
      <w:r w:rsidR="00C03CFB">
        <w:rPr>
          <w:rFonts w:ascii="Times New Roman" w:hAnsi="Times New Roman"/>
          <w:sz w:val="24"/>
          <w:szCs w:val="24"/>
        </w:rPr>
        <w:t xml:space="preserve">a </w:t>
      </w:r>
      <w:r w:rsidR="00194EED">
        <w:rPr>
          <w:rFonts w:ascii="Times New Roman" w:hAnsi="Times New Roman"/>
          <w:sz w:val="24"/>
          <w:szCs w:val="24"/>
        </w:rPr>
        <w:t>non-performing loan</w:t>
      </w:r>
      <w:r w:rsidR="00C03CFB">
        <w:rPr>
          <w:rFonts w:ascii="Times New Roman" w:hAnsi="Times New Roman"/>
          <w:sz w:val="24"/>
          <w:szCs w:val="24"/>
        </w:rPr>
        <w:t>s</w:t>
      </w:r>
      <w:r w:rsidR="00194EED">
        <w:rPr>
          <w:rFonts w:ascii="Times New Roman" w:hAnsi="Times New Roman"/>
          <w:sz w:val="24"/>
          <w:szCs w:val="24"/>
        </w:rPr>
        <w:t xml:space="preserve"> of deposit money banks in Nigeria. </w:t>
      </w:r>
      <w:r w:rsidR="00136572">
        <w:rPr>
          <w:rFonts w:ascii="Times New Roman" w:hAnsi="Times New Roman"/>
          <w:sz w:val="24"/>
          <w:szCs w:val="24"/>
        </w:rPr>
        <w:t>Similarly</w:t>
      </w:r>
      <w:r w:rsidR="00194EED">
        <w:rPr>
          <w:rFonts w:ascii="Times New Roman" w:hAnsi="Times New Roman"/>
          <w:sz w:val="24"/>
          <w:szCs w:val="24"/>
        </w:rPr>
        <w:t xml:space="preserve">, bank size has </w:t>
      </w:r>
      <w:r w:rsidR="00C03CFB">
        <w:rPr>
          <w:rFonts w:ascii="Times New Roman" w:hAnsi="Times New Roman"/>
          <w:sz w:val="24"/>
          <w:szCs w:val="24"/>
        </w:rPr>
        <w:t xml:space="preserve">a </w:t>
      </w:r>
      <w:r w:rsidR="00194EED">
        <w:rPr>
          <w:rFonts w:ascii="Times New Roman" w:hAnsi="Times New Roman"/>
          <w:sz w:val="24"/>
          <w:szCs w:val="24"/>
        </w:rPr>
        <w:t xml:space="preserve">positive </w:t>
      </w:r>
      <w:r w:rsidR="00194EED">
        <w:rPr>
          <w:rFonts w:ascii="Times New Roman" w:hAnsi="Times New Roman"/>
          <w:sz w:val="24"/>
          <w:szCs w:val="24"/>
        </w:rPr>
        <w:lastRenderedPageBreak/>
        <w:t xml:space="preserve">and insignificant effect on </w:t>
      </w:r>
      <w:r w:rsidR="00C03CFB">
        <w:rPr>
          <w:rFonts w:ascii="Times New Roman" w:hAnsi="Times New Roman"/>
          <w:sz w:val="24"/>
          <w:szCs w:val="24"/>
        </w:rPr>
        <w:t xml:space="preserve">a </w:t>
      </w:r>
      <w:r w:rsidR="00194EED">
        <w:rPr>
          <w:rFonts w:ascii="Times New Roman" w:hAnsi="Times New Roman"/>
          <w:sz w:val="24"/>
          <w:szCs w:val="24"/>
        </w:rPr>
        <w:t>non-performing loan</w:t>
      </w:r>
      <w:r w:rsidR="00C03CFB">
        <w:rPr>
          <w:rFonts w:ascii="Times New Roman" w:hAnsi="Times New Roman"/>
          <w:sz w:val="24"/>
          <w:szCs w:val="24"/>
        </w:rPr>
        <w:t>s</w:t>
      </w:r>
      <w:r w:rsidR="00194EED">
        <w:rPr>
          <w:rFonts w:ascii="Times New Roman" w:hAnsi="Times New Roman"/>
          <w:sz w:val="24"/>
          <w:szCs w:val="24"/>
        </w:rPr>
        <w:t xml:space="preserve"> of deposit money banks in Nigeria.</w:t>
      </w:r>
      <w:r w:rsidRPr="00B35C99">
        <w:rPr>
          <w:rFonts w:ascii="Times New Roman" w:hAnsi="Times New Roman"/>
          <w:sz w:val="24"/>
          <w:szCs w:val="24"/>
        </w:rPr>
        <w:t xml:space="preserve"> </w:t>
      </w:r>
      <w:r>
        <w:rPr>
          <w:rFonts w:ascii="Times New Roman" w:eastAsia="Times New Roman" w:hAnsi="Times New Roman"/>
          <w:sz w:val="24"/>
          <w:szCs w:val="24"/>
        </w:rPr>
        <w:t xml:space="preserve">The study is in line with the findings of </w:t>
      </w:r>
      <w:proofErr w:type="spellStart"/>
      <w:r w:rsidR="003256EB" w:rsidRPr="00BB2FAD">
        <w:rPr>
          <w:rFonts w:ascii="Times New Roman" w:hAnsi="Times New Roman" w:cs="Times New Roman"/>
          <w:bCs/>
          <w:sz w:val="24"/>
          <w:szCs w:val="24"/>
        </w:rPr>
        <w:t>Migliardo</w:t>
      </w:r>
      <w:proofErr w:type="spellEnd"/>
      <w:r w:rsidR="003256EB" w:rsidRPr="00BB2FAD">
        <w:rPr>
          <w:rFonts w:ascii="Times New Roman" w:hAnsi="Times New Roman" w:cs="Times New Roman"/>
          <w:bCs/>
          <w:sz w:val="24"/>
          <w:szCs w:val="24"/>
        </w:rPr>
        <w:t xml:space="preserve"> and </w:t>
      </w:r>
      <w:proofErr w:type="spellStart"/>
      <w:r w:rsidR="003256EB" w:rsidRPr="00BB2FAD">
        <w:rPr>
          <w:rFonts w:ascii="Times New Roman" w:hAnsi="Times New Roman" w:cs="Times New Roman"/>
          <w:bCs/>
          <w:sz w:val="24"/>
          <w:szCs w:val="24"/>
        </w:rPr>
        <w:t>F</w:t>
      </w:r>
      <w:r w:rsidR="0014572F">
        <w:rPr>
          <w:rFonts w:ascii="Times New Roman" w:hAnsi="Times New Roman" w:cs="Times New Roman"/>
          <w:bCs/>
          <w:sz w:val="24"/>
          <w:szCs w:val="24"/>
        </w:rPr>
        <w:t>orgione</w:t>
      </w:r>
      <w:proofErr w:type="spellEnd"/>
      <w:r w:rsidR="0014572F">
        <w:rPr>
          <w:rFonts w:ascii="Times New Roman" w:hAnsi="Times New Roman" w:cs="Times New Roman"/>
          <w:bCs/>
          <w:sz w:val="24"/>
          <w:szCs w:val="24"/>
        </w:rPr>
        <w:t xml:space="preserve"> </w:t>
      </w:r>
      <w:r w:rsidR="003256EB" w:rsidRPr="00BB2FAD">
        <w:rPr>
          <w:rFonts w:ascii="Times New Roman" w:hAnsi="Times New Roman" w:cs="Times New Roman"/>
          <w:bCs/>
          <w:sz w:val="24"/>
          <w:szCs w:val="24"/>
        </w:rPr>
        <w:t>(2018)</w:t>
      </w:r>
      <w:r>
        <w:rPr>
          <w:rFonts w:ascii="Times New Roman" w:eastAsia="Times New Roman" w:hAnsi="Times New Roman"/>
          <w:sz w:val="24"/>
          <w:szCs w:val="24"/>
        </w:rPr>
        <w:t xml:space="preserve"> </w:t>
      </w:r>
      <w:r>
        <w:rPr>
          <w:rFonts w:ascii="Times New Roman" w:hAnsi="Times New Roman"/>
          <w:bCs/>
          <w:color w:val="000000"/>
          <w:sz w:val="24"/>
          <w:szCs w:val="24"/>
        </w:rPr>
        <w:t>who found that</w:t>
      </w:r>
      <w:r w:rsidR="008F636E">
        <w:rPr>
          <w:rFonts w:ascii="Times New Roman" w:hAnsi="Times New Roman"/>
          <w:bCs/>
          <w:color w:val="000000"/>
          <w:sz w:val="24"/>
          <w:szCs w:val="24"/>
        </w:rPr>
        <w:t xml:space="preserve"> large-block shareholders are more profitable, less risky and more efficient </w:t>
      </w:r>
      <w:r w:rsidR="00C03CFB">
        <w:rPr>
          <w:rFonts w:ascii="Times New Roman" w:hAnsi="Times New Roman"/>
          <w:bCs/>
          <w:color w:val="000000"/>
          <w:sz w:val="24"/>
          <w:szCs w:val="24"/>
        </w:rPr>
        <w:t>in</w:t>
      </w:r>
      <w:r w:rsidR="00C03CFB">
        <w:rPr>
          <w:rFonts w:ascii="Times New Roman" w:hAnsi="Times New Roman"/>
          <w:color w:val="000000"/>
          <w:sz w:val="24"/>
          <w:szCs w:val="24"/>
        </w:rPr>
        <w:t xml:space="preserve"> </w:t>
      </w:r>
      <w:r w:rsidR="00BD10C1">
        <w:rPr>
          <w:rFonts w:ascii="Times New Roman" w:hAnsi="Times New Roman"/>
          <w:color w:val="000000"/>
          <w:sz w:val="24"/>
          <w:szCs w:val="24"/>
        </w:rPr>
        <w:t>ownership structure</w:t>
      </w:r>
      <w:r w:rsidR="003256EB">
        <w:rPr>
          <w:rFonts w:ascii="Times New Roman" w:hAnsi="Times New Roman"/>
          <w:color w:val="000000"/>
          <w:sz w:val="24"/>
          <w:szCs w:val="24"/>
        </w:rPr>
        <w:t xml:space="preserve"> while the study disagreed with the findings of </w:t>
      </w:r>
      <w:proofErr w:type="spellStart"/>
      <w:r w:rsidR="003256EB" w:rsidRPr="0051062B">
        <w:rPr>
          <w:rFonts w:ascii="Times New Roman" w:hAnsi="Times New Roman" w:cs="Times New Roman"/>
          <w:bCs/>
          <w:sz w:val="24"/>
          <w:szCs w:val="24"/>
        </w:rPr>
        <w:t>Sijabat</w:t>
      </w:r>
      <w:proofErr w:type="spellEnd"/>
      <w:r w:rsidR="003256EB">
        <w:rPr>
          <w:rFonts w:ascii="Times New Roman" w:hAnsi="Times New Roman" w:cs="Times New Roman"/>
          <w:bCs/>
          <w:sz w:val="24"/>
          <w:szCs w:val="24"/>
        </w:rPr>
        <w:t xml:space="preserve"> et.</w:t>
      </w:r>
      <w:r w:rsidR="00F92F00">
        <w:rPr>
          <w:rFonts w:ascii="Times New Roman" w:hAnsi="Times New Roman" w:cs="Times New Roman"/>
          <w:bCs/>
          <w:sz w:val="24"/>
          <w:szCs w:val="24"/>
        </w:rPr>
        <w:t xml:space="preserve"> </w:t>
      </w:r>
      <w:r w:rsidR="003256EB">
        <w:rPr>
          <w:rFonts w:ascii="Times New Roman" w:hAnsi="Times New Roman" w:cs="Times New Roman"/>
          <w:bCs/>
          <w:sz w:val="24"/>
          <w:szCs w:val="24"/>
        </w:rPr>
        <w:t xml:space="preserve">al., (2020) who </w:t>
      </w:r>
      <w:r w:rsidR="00CA3EFB">
        <w:rPr>
          <w:rFonts w:ascii="Times New Roman" w:hAnsi="Times New Roman" w:cs="Times New Roman"/>
          <w:bCs/>
          <w:sz w:val="24"/>
          <w:szCs w:val="24"/>
        </w:rPr>
        <w:t>establish a</w:t>
      </w:r>
      <w:r w:rsidR="003256EB">
        <w:rPr>
          <w:rFonts w:ascii="Times New Roman" w:hAnsi="Times New Roman" w:cs="Times New Roman"/>
          <w:bCs/>
          <w:sz w:val="24"/>
          <w:szCs w:val="24"/>
        </w:rPr>
        <w:t xml:space="preserve"> positive and significant effect of</w:t>
      </w:r>
      <w:r w:rsidR="008F636E">
        <w:rPr>
          <w:rFonts w:ascii="Times New Roman" w:hAnsi="Times New Roman" w:cs="Times New Roman"/>
          <w:bCs/>
          <w:sz w:val="24"/>
          <w:szCs w:val="24"/>
        </w:rPr>
        <w:t xml:space="preserve"> ownership </w:t>
      </w:r>
      <w:r w:rsidR="00D243AE">
        <w:rPr>
          <w:rFonts w:ascii="Times New Roman" w:hAnsi="Times New Roman" w:cs="Times New Roman"/>
          <w:bCs/>
          <w:sz w:val="24"/>
          <w:szCs w:val="24"/>
        </w:rPr>
        <w:t>concentration</w:t>
      </w:r>
      <w:r w:rsidR="008F636E">
        <w:rPr>
          <w:rFonts w:ascii="Times New Roman" w:hAnsi="Times New Roman" w:cs="Times New Roman"/>
          <w:bCs/>
          <w:sz w:val="24"/>
          <w:szCs w:val="24"/>
        </w:rPr>
        <w:t xml:space="preserve"> on non</w:t>
      </w:r>
      <w:r w:rsidR="00CA3EFB">
        <w:rPr>
          <w:rFonts w:ascii="Times New Roman" w:hAnsi="Times New Roman" w:cs="Times New Roman"/>
          <w:bCs/>
          <w:sz w:val="24"/>
          <w:szCs w:val="24"/>
        </w:rPr>
        <w:t>-performing assets</w:t>
      </w:r>
      <w:r>
        <w:rPr>
          <w:rFonts w:ascii="Times New Roman" w:hAnsi="Times New Roman"/>
          <w:sz w:val="24"/>
          <w:szCs w:val="24"/>
        </w:rPr>
        <w:t>. The study is also in line with</w:t>
      </w:r>
      <w:r w:rsidR="008A33C3" w:rsidRPr="00AA7C4F">
        <w:rPr>
          <w:rFonts w:ascii="Times New Roman" w:hAnsi="Times New Roman" w:cs="Times New Roman"/>
          <w:sz w:val="24"/>
          <w:szCs w:val="24"/>
        </w:rPr>
        <w:t xml:space="preserve"> agen</w:t>
      </w:r>
      <w:r w:rsidR="00D243AE">
        <w:rPr>
          <w:rFonts w:ascii="Times New Roman" w:hAnsi="Times New Roman" w:cs="Times New Roman"/>
          <w:sz w:val="24"/>
          <w:szCs w:val="24"/>
        </w:rPr>
        <w:t>cy</w:t>
      </w:r>
      <w:r w:rsidR="008A33C3" w:rsidRPr="00AA7C4F">
        <w:rPr>
          <w:rFonts w:ascii="Times New Roman" w:hAnsi="Times New Roman" w:cs="Times New Roman"/>
          <w:sz w:val="24"/>
          <w:szCs w:val="24"/>
        </w:rPr>
        <w:t xml:space="preserve"> theory </w:t>
      </w:r>
      <w:r w:rsidR="008A33C3">
        <w:rPr>
          <w:rFonts w:ascii="Times New Roman" w:hAnsi="Times New Roman" w:cs="Times New Roman"/>
          <w:sz w:val="24"/>
          <w:szCs w:val="24"/>
        </w:rPr>
        <w:t>which state</w:t>
      </w:r>
      <w:r w:rsidR="00D243AE">
        <w:rPr>
          <w:rFonts w:ascii="Times New Roman" w:hAnsi="Times New Roman" w:cs="Times New Roman"/>
          <w:sz w:val="24"/>
          <w:szCs w:val="24"/>
        </w:rPr>
        <w:t>s</w:t>
      </w:r>
      <w:r w:rsidR="008A33C3">
        <w:rPr>
          <w:rFonts w:ascii="Times New Roman" w:hAnsi="Times New Roman" w:cs="Times New Roman"/>
          <w:sz w:val="24"/>
          <w:szCs w:val="24"/>
        </w:rPr>
        <w:t xml:space="preserve"> that </w:t>
      </w:r>
      <w:r w:rsidR="008A33C3" w:rsidRPr="00AA7C4F">
        <w:rPr>
          <w:rFonts w:ascii="Times New Roman" w:hAnsi="Times New Roman" w:cs="Times New Roman"/>
          <w:sz w:val="24"/>
          <w:szCs w:val="24"/>
        </w:rPr>
        <w:t>those problem</w:t>
      </w:r>
      <w:r w:rsidR="00D243AE">
        <w:rPr>
          <w:rFonts w:ascii="Times New Roman" w:hAnsi="Times New Roman" w:cs="Times New Roman"/>
          <w:sz w:val="24"/>
          <w:szCs w:val="24"/>
        </w:rPr>
        <w:t>s which have</w:t>
      </w:r>
      <w:r w:rsidR="008A33C3" w:rsidRPr="00AA7C4F">
        <w:rPr>
          <w:rFonts w:ascii="Times New Roman" w:hAnsi="Times New Roman" w:cs="Times New Roman"/>
          <w:sz w:val="24"/>
          <w:szCs w:val="24"/>
        </w:rPr>
        <w:t xml:space="preserve"> been discussed aroused due to </w:t>
      </w:r>
      <w:r w:rsidR="00C03CFB">
        <w:rPr>
          <w:rFonts w:ascii="Times New Roman" w:hAnsi="Times New Roman" w:cs="Times New Roman"/>
          <w:sz w:val="24"/>
          <w:szCs w:val="24"/>
        </w:rPr>
        <w:t xml:space="preserve">a </w:t>
      </w:r>
      <w:r w:rsidR="008A33C3" w:rsidRPr="00AA7C4F">
        <w:rPr>
          <w:rFonts w:ascii="Times New Roman" w:hAnsi="Times New Roman" w:cs="Times New Roman"/>
          <w:sz w:val="24"/>
          <w:szCs w:val="24"/>
        </w:rPr>
        <w:t xml:space="preserve">lack of control by </w:t>
      </w:r>
      <w:r w:rsidR="00D243AE">
        <w:rPr>
          <w:rFonts w:ascii="Times New Roman" w:hAnsi="Times New Roman" w:cs="Times New Roman"/>
          <w:sz w:val="24"/>
          <w:szCs w:val="24"/>
        </w:rPr>
        <w:t>the shareholders.</w:t>
      </w:r>
      <w:r w:rsidR="002B7F4A">
        <w:rPr>
          <w:rFonts w:ascii="Times New Roman" w:hAnsi="Times New Roman" w:cs="Times New Roman"/>
          <w:sz w:val="24"/>
          <w:szCs w:val="24"/>
        </w:rPr>
        <w:t xml:space="preserve"> </w:t>
      </w:r>
    </w:p>
    <w:p w14:paraId="6C7A2B00" w14:textId="45C0ADC1" w:rsidR="00F92F00" w:rsidRDefault="00F92F00" w:rsidP="00FB3FAC">
      <w:pPr>
        <w:autoSpaceDE w:val="0"/>
        <w:autoSpaceDN w:val="0"/>
        <w:adjustRightInd w:val="0"/>
        <w:spacing w:after="0" w:line="360" w:lineRule="auto"/>
        <w:ind w:right="8"/>
        <w:jc w:val="both"/>
        <w:rPr>
          <w:rFonts w:ascii="Times New Roman" w:hAnsi="Times New Roman" w:cs="Times New Roman"/>
          <w:sz w:val="24"/>
          <w:szCs w:val="24"/>
        </w:rPr>
      </w:pPr>
    </w:p>
    <w:p w14:paraId="591CC0F7" w14:textId="74276597" w:rsidR="008A33C3" w:rsidRPr="00F92F00" w:rsidRDefault="00F92F00" w:rsidP="00FB3FAC">
      <w:pPr>
        <w:autoSpaceDE w:val="0"/>
        <w:autoSpaceDN w:val="0"/>
        <w:adjustRightInd w:val="0"/>
        <w:spacing w:after="0" w:line="360" w:lineRule="auto"/>
        <w:ind w:right="8"/>
        <w:jc w:val="both"/>
        <w:rPr>
          <w:rFonts w:ascii="Times New Roman" w:hAnsi="Times New Roman" w:cs="Times New Roman"/>
          <w:b/>
          <w:sz w:val="24"/>
          <w:szCs w:val="24"/>
        </w:rPr>
      </w:pPr>
      <w:r w:rsidRPr="00F92F00">
        <w:rPr>
          <w:rFonts w:ascii="Times New Roman" w:hAnsi="Times New Roman" w:cs="Times New Roman"/>
          <w:color w:val="000000"/>
          <w:sz w:val="24"/>
          <w:szCs w:val="24"/>
        </w:rPr>
        <w:t>Also, Fawad (2013) examined the impact of ownership concentration on non-performing loans of deposit banks in Pakistan and established a significant correlation between ownership concentration and non-performing loans. The study concluded that a rise in ownership concentration enhanced the level of NPLs which consequently deteriorates the loan quality of banks.</w:t>
      </w:r>
      <w:r>
        <w:rPr>
          <w:rFonts w:ascii="Times New Roman" w:hAnsi="Times New Roman" w:cs="Times New Roman"/>
          <w:b/>
          <w:sz w:val="24"/>
          <w:szCs w:val="24"/>
        </w:rPr>
        <w:t xml:space="preserve"> </w:t>
      </w:r>
      <w:r w:rsidR="00123551">
        <w:rPr>
          <w:rFonts w:ascii="Times New Roman" w:hAnsi="Times New Roman" w:cs="Times New Roman"/>
          <w:sz w:val="24"/>
          <w:szCs w:val="24"/>
        </w:rPr>
        <w:t xml:space="preserve">Furthermore, </w:t>
      </w:r>
      <w:proofErr w:type="spellStart"/>
      <w:r w:rsidR="00123551" w:rsidRPr="00140C84">
        <w:rPr>
          <w:rFonts w:ascii="Times New Roman" w:hAnsi="Times New Roman" w:cs="Times New Roman"/>
          <w:sz w:val="24"/>
          <w:szCs w:val="24"/>
        </w:rPr>
        <w:t>Berle</w:t>
      </w:r>
      <w:proofErr w:type="spellEnd"/>
      <w:r w:rsidR="008A33C3" w:rsidRPr="00140C84">
        <w:rPr>
          <w:rFonts w:ascii="Times New Roman" w:hAnsi="Times New Roman" w:cs="Times New Roman"/>
          <w:sz w:val="24"/>
          <w:szCs w:val="24"/>
        </w:rPr>
        <w:t xml:space="preserve"> and Means [1932]</w:t>
      </w:r>
      <w:r w:rsidR="006E0BC2">
        <w:rPr>
          <w:rFonts w:ascii="Times New Roman" w:hAnsi="Times New Roman" w:cs="Times New Roman"/>
          <w:sz w:val="24"/>
          <w:szCs w:val="24"/>
        </w:rPr>
        <w:t xml:space="preserve"> </w:t>
      </w:r>
      <w:r w:rsidR="00F00E65">
        <w:rPr>
          <w:rFonts w:ascii="Times New Roman" w:hAnsi="Times New Roman" w:cs="Times New Roman"/>
          <w:sz w:val="24"/>
          <w:szCs w:val="24"/>
        </w:rPr>
        <w:t xml:space="preserve">in their theory, </w:t>
      </w:r>
      <w:r w:rsidR="006E0BC2">
        <w:rPr>
          <w:rFonts w:ascii="Times New Roman" w:hAnsi="Times New Roman" w:cs="Times New Roman"/>
          <w:sz w:val="24"/>
          <w:szCs w:val="24"/>
        </w:rPr>
        <w:t>observed that</w:t>
      </w:r>
      <w:r w:rsidR="008A33C3" w:rsidRPr="00AA7C4F">
        <w:rPr>
          <w:rFonts w:ascii="Times New Roman" w:hAnsi="Times New Roman" w:cs="Times New Roman"/>
          <w:sz w:val="24"/>
          <w:szCs w:val="24"/>
        </w:rPr>
        <w:t xml:space="preserve"> share ownership</w:t>
      </w:r>
      <w:r w:rsidR="006E0BC2">
        <w:rPr>
          <w:rFonts w:ascii="Times New Roman" w:hAnsi="Times New Roman" w:cs="Times New Roman"/>
          <w:sz w:val="24"/>
          <w:szCs w:val="24"/>
        </w:rPr>
        <w:t xml:space="preserve"> in modern corporations</w:t>
      </w:r>
      <w:r w:rsidR="008A33C3" w:rsidRPr="00AA7C4F">
        <w:rPr>
          <w:rFonts w:ascii="Times New Roman" w:hAnsi="Times New Roman" w:cs="Times New Roman"/>
          <w:sz w:val="24"/>
          <w:szCs w:val="24"/>
        </w:rPr>
        <w:t xml:space="preserve"> is widely</w:t>
      </w:r>
      <w:r w:rsidR="008A33C3">
        <w:rPr>
          <w:rFonts w:ascii="Times New Roman" w:hAnsi="Times New Roman" w:cs="Times New Roman"/>
          <w:sz w:val="24"/>
          <w:szCs w:val="24"/>
        </w:rPr>
        <w:t xml:space="preserve"> </w:t>
      </w:r>
      <w:r w:rsidR="008A33C3" w:rsidRPr="00AA7C4F">
        <w:rPr>
          <w:rFonts w:ascii="Times New Roman" w:hAnsi="Times New Roman" w:cs="Times New Roman"/>
          <w:sz w:val="24"/>
          <w:szCs w:val="24"/>
        </w:rPr>
        <w:t xml:space="preserve">dispersed </w:t>
      </w:r>
      <w:r w:rsidR="006E0BC2">
        <w:rPr>
          <w:rFonts w:ascii="Times New Roman" w:hAnsi="Times New Roman" w:cs="Times New Roman"/>
          <w:sz w:val="24"/>
          <w:szCs w:val="24"/>
        </w:rPr>
        <w:t xml:space="preserve">hence, </w:t>
      </w:r>
      <w:r w:rsidR="008A33C3" w:rsidRPr="00AA7C4F">
        <w:rPr>
          <w:rFonts w:ascii="Times New Roman" w:hAnsi="Times New Roman" w:cs="Times New Roman"/>
          <w:sz w:val="24"/>
          <w:szCs w:val="24"/>
        </w:rPr>
        <w:t xml:space="preserve">due to this reason </w:t>
      </w:r>
      <w:r w:rsidR="00123551" w:rsidRPr="00AA7C4F">
        <w:rPr>
          <w:rFonts w:ascii="Times New Roman" w:hAnsi="Times New Roman" w:cs="Times New Roman"/>
          <w:sz w:val="24"/>
          <w:szCs w:val="24"/>
        </w:rPr>
        <w:t>managers</w:t>
      </w:r>
      <w:r w:rsidR="008A33C3" w:rsidRPr="00AA7C4F">
        <w:rPr>
          <w:rFonts w:ascii="Times New Roman" w:hAnsi="Times New Roman" w:cs="Times New Roman"/>
          <w:sz w:val="24"/>
          <w:szCs w:val="24"/>
        </w:rPr>
        <w:t xml:space="preserve"> </w:t>
      </w:r>
      <w:r w:rsidR="006E0BC2">
        <w:rPr>
          <w:rFonts w:ascii="Times New Roman" w:hAnsi="Times New Roman" w:cs="Times New Roman"/>
          <w:sz w:val="24"/>
          <w:szCs w:val="24"/>
        </w:rPr>
        <w:t>tend to behave different</w:t>
      </w:r>
      <w:r w:rsidR="00C03CFB">
        <w:rPr>
          <w:rFonts w:ascii="Times New Roman" w:hAnsi="Times New Roman" w:cs="Times New Roman"/>
          <w:sz w:val="24"/>
          <w:szCs w:val="24"/>
        </w:rPr>
        <w:t>ly</w:t>
      </w:r>
      <w:r w:rsidR="00123551">
        <w:rPr>
          <w:rFonts w:ascii="Times New Roman" w:hAnsi="Times New Roman" w:cs="Times New Roman"/>
          <w:sz w:val="24"/>
          <w:szCs w:val="24"/>
        </w:rPr>
        <w:t xml:space="preserve"> from the guidelines</w:t>
      </w:r>
      <w:r w:rsidR="008A33C3" w:rsidRPr="00AA7C4F">
        <w:rPr>
          <w:rFonts w:ascii="Times New Roman" w:hAnsi="Times New Roman" w:cs="Times New Roman"/>
          <w:sz w:val="24"/>
          <w:szCs w:val="24"/>
        </w:rPr>
        <w:t xml:space="preserve"> </w:t>
      </w:r>
      <w:r w:rsidR="00123551">
        <w:rPr>
          <w:rFonts w:ascii="Times New Roman" w:hAnsi="Times New Roman" w:cs="Times New Roman"/>
          <w:sz w:val="24"/>
          <w:szCs w:val="24"/>
        </w:rPr>
        <w:t>set</w:t>
      </w:r>
      <w:r w:rsidR="008A33C3" w:rsidRPr="00AA7C4F">
        <w:rPr>
          <w:rFonts w:ascii="Times New Roman" w:hAnsi="Times New Roman" w:cs="Times New Roman"/>
          <w:sz w:val="24"/>
          <w:szCs w:val="24"/>
        </w:rPr>
        <w:t xml:space="preserve"> to maximize shareholder returns. Separation of ownership and control has been characterized as an agency problem</w:t>
      </w:r>
      <w:r w:rsidR="008A33C3">
        <w:rPr>
          <w:rFonts w:ascii="Times New Roman" w:hAnsi="Times New Roman" w:cs="Times New Roman"/>
          <w:sz w:val="24"/>
          <w:szCs w:val="24"/>
        </w:rPr>
        <w:t xml:space="preserve"> </w:t>
      </w:r>
      <w:r w:rsidR="008A33C3" w:rsidRPr="00AA7C4F">
        <w:rPr>
          <w:rFonts w:ascii="Times New Roman" w:hAnsi="Times New Roman" w:cs="Times New Roman"/>
          <w:sz w:val="24"/>
          <w:szCs w:val="24"/>
        </w:rPr>
        <w:t xml:space="preserve">by </w:t>
      </w:r>
      <w:r w:rsidR="008A33C3" w:rsidRPr="00140C84">
        <w:rPr>
          <w:rFonts w:ascii="Times New Roman" w:hAnsi="Times New Roman" w:cs="Times New Roman"/>
        </w:rPr>
        <w:t xml:space="preserve">[Jensen, </w:t>
      </w:r>
      <w:proofErr w:type="spellStart"/>
      <w:r w:rsidR="008A33C3" w:rsidRPr="00140C84">
        <w:rPr>
          <w:rFonts w:ascii="Times New Roman" w:hAnsi="Times New Roman" w:cs="Times New Roman"/>
        </w:rPr>
        <w:t>Meckling</w:t>
      </w:r>
      <w:proofErr w:type="spellEnd"/>
      <w:r w:rsidR="008A33C3" w:rsidRPr="00140C84">
        <w:rPr>
          <w:rFonts w:ascii="Times New Roman" w:hAnsi="Times New Roman" w:cs="Times New Roman"/>
        </w:rPr>
        <w:t xml:space="preserve"> 1976].</w:t>
      </w:r>
      <w:r w:rsidR="008A33C3" w:rsidRPr="00AA7C4F">
        <w:rPr>
          <w:rFonts w:ascii="Times New Roman" w:hAnsi="Times New Roman" w:cs="Times New Roman"/>
          <w:sz w:val="24"/>
          <w:szCs w:val="24"/>
        </w:rPr>
        <w:t xml:space="preserve"> They </w:t>
      </w:r>
      <w:r w:rsidR="00123551">
        <w:rPr>
          <w:rFonts w:ascii="Times New Roman" w:hAnsi="Times New Roman" w:cs="Times New Roman"/>
          <w:sz w:val="24"/>
          <w:szCs w:val="24"/>
        </w:rPr>
        <w:t>categorically state</w:t>
      </w:r>
      <w:r w:rsidR="008A33C3" w:rsidRPr="00AA7C4F">
        <w:rPr>
          <w:rFonts w:ascii="Times New Roman" w:hAnsi="Times New Roman" w:cs="Times New Roman"/>
          <w:sz w:val="24"/>
          <w:szCs w:val="24"/>
        </w:rPr>
        <w:t xml:space="preserve"> that managers are the agents who are hired to maximize the return to the shareholders who are the principals. As agents do not own the resources of corporations, they may commit </w:t>
      </w:r>
      <w:r w:rsidR="00123551" w:rsidRPr="00AA7C4F">
        <w:rPr>
          <w:rFonts w:ascii="Times New Roman" w:hAnsi="Times New Roman" w:cs="Times New Roman"/>
          <w:sz w:val="24"/>
          <w:szCs w:val="24"/>
        </w:rPr>
        <w:t>moral hazards</w:t>
      </w:r>
      <w:r w:rsidR="008A33C3" w:rsidRPr="00AA7C4F">
        <w:rPr>
          <w:rFonts w:ascii="Times New Roman" w:hAnsi="Times New Roman" w:cs="Times New Roman"/>
          <w:sz w:val="24"/>
          <w:szCs w:val="24"/>
        </w:rPr>
        <w:t xml:space="preserve"> to </w:t>
      </w:r>
      <w:r w:rsidR="00123551">
        <w:rPr>
          <w:rFonts w:ascii="Times New Roman" w:hAnsi="Times New Roman" w:cs="Times New Roman"/>
          <w:sz w:val="24"/>
          <w:szCs w:val="24"/>
        </w:rPr>
        <w:t>enhance</w:t>
      </w:r>
      <w:r w:rsidR="008A33C3" w:rsidRPr="00AA7C4F">
        <w:rPr>
          <w:rFonts w:ascii="Times New Roman" w:hAnsi="Times New Roman" w:cs="Times New Roman"/>
          <w:sz w:val="24"/>
          <w:szCs w:val="24"/>
        </w:rPr>
        <w:t xml:space="preserve"> their wealth </w:t>
      </w:r>
      <w:r w:rsidR="00C03CFB">
        <w:rPr>
          <w:rFonts w:ascii="Times New Roman" w:hAnsi="Times New Roman" w:cs="Times New Roman"/>
          <w:sz w:val="24"/>
          <w:szCs w:val="24"/>
        </w:rPr>
        <w:t xml:space="preserve">to </w:t>
      </w:r>
      <w:r w:rsidR="00123551">
        <w:rPr>
          <w:rFonts w:ascii="Times New Roman" w:hAnsi="Times New Roman" w:cs="Times New Roman"/>
          <w:sz w:val="24"/>
          <w:szCs w:val="24"/>
        </w:rPr>
        <w:t xml:space="preserve">the detriment of </w:t>
      </w:r>
      <w:r w:rsidR="003E358D">
        <w:rPr>
          <w:rFonts w:ascii="Times New Roman" w:hAnsi="Times New Roman" w:cs="Times New Roman"/>
          <w:sz w:val="24"/>
          <w:szCs w:val="24"/>
        </w:rPr>
        <w:t>the</w:t>
      </w:r>
      <w:r w:rsidR="008A33C3" w:rsidRPr="00AA7C4F">
        <w:rPr>
          <w:rFonts w:ascii="Times New Roman" w:hAnsi="Times New Roman" w:cs="Times New Roman"/>
          <w:sz w:val="24"/>
          <w:szCs w:val="24"/>
        </w:rPr>
        <w:t xml:space="preserve"> owners </w:t>
      </w:r>
      <w:r w:rsidR="003E358D">
        <w:rPr>
          <w:rFonts w:ascii="Times New Roman" w:hAnsi="Times New Roman" w:cs="Times New Roman"/>
          <w:sz w:val="24"/>
          <w:szCs w:val="24"/>
        </w:rPr>
        <w:t>who may bear serious</w:t>
      </w:r>
      <w:r w:rsidR="008A33C3" w:rsidRPr="00AA7C4F">
        <w:rPr>
          <w:rFonts w:ascii="Times New Roman" w:hAnsi="Times New Roman" w:cs="Times New Roman"/>
          <w:sz w:val="24"/>
          <w:szCs w:val="24"/>
        </w:rPr>
        <w:t xml:space="preserve"> losses. </w:t>
      </w:r>
      <w:r w:rsidR="00C03CFB">
        <w:rPr>
          <w:rFonts w:ascii="Times New Roman" w:hAnsi="Times New Roman" w:cs="Times New Roman"/>
          <w:sz w:val="24"/>
          <w:szCs w:val="24"/>
        </w:rPr>
        <w:t>Given</w:t>
      </w:r>
      <w:r w:rsidR="003E358D">
        <w:rPr>
          <w:rFonts w:ascii="Times New Roman" w:hAnsi="Times New Roman" w:cs="Times New Roman"/>
          <w:sz w:val="24"/>
          <w:szCs w:val="24"/>
        </w:rPr>
        <w:t xml:space="preserve"> </w:t>
      </w:r>
      <w:r w:rsidR="00441ECC">
        <w:rPr>
          <w:rFonts w:ascii="Times New Roman" w:hAnsi="Times New Roman" w:cs="Times New Roman"/>
          <w:sz w:val="24"/>
          <w:szCs w:val="24"/>
        </w:rPr>
        <w:t xml:space="preserve">this, </w:t>
      </w:r>
      <w:r w:rsidR="00441ECC" w:rsidRPr="00AA7C4F">
        <w:rPr>
          <w:rFonts w:ascii="Times New Roman" w:hAnsi="Times New Roman" w:cs="Times New Roman"/>
          <w:sz w:val="24"/>
          <w:szCs w:val="24"/>
        </w:rPr>
        <w:t>the</w:t>
      </w:r>
      <w:r w:rsidR="008A33C3" w:rsidRPr="00AA7C4F">
        <w:rPr>
          <w:rFonts w:ascii="Times New Roman" w:hAnsi="Times New Roman" w:cs="Times New Roman"/>
          <w:sz w:val="24"/>
          <w:szCs w:val="24"/>
        </w:rPr>
        <w:t xml:space="preserve"> concept of agency theory </w:t>
      </w:r>
      <w:r w:rsidR="003E358D">
        <w:rPr>
          <w:rFonts w:ascii="Times New Roman" w:hAnsi="Times New Roman" w:cs="Times New Roman"/>
          <w:sz w:val="24"/>
          <w:szCs w:val="24"/>
        </w:rPr>
        <w:t>clearly</w:t>
      </w:r>
      <w:r w:rsidR="008A33C3" w:rsidRPr="00AA7C4F">
        <w:rPr>
          <w:rFonts w:ascii="Times New Roman" w:hAnsi="Times New Roman" w:cs="Times New Roman"/>
          <w:sz w:val="24"/>
          <w:szCs w:val="24"/>
        </w:rPr>
        <w:t xml:space="preserve"> </w:t>
      </w:r>
      <w:r w:rsidR="00441ECC" w:rsidRPr="00AA7C4F">
        <w:rPr>
          <w:rFonts w:ascii="Times New Roman" w:hAnsi="Times New Roman" w:cs="Times New Roman"/>
          <w:sz w:val="24"/>
          <w:szCs w:val="24"/>
        </w:rPr>
        <w:t>describes</w:t>
      </w:r>
      <w:r w:rsidR="008A33C3" w:rsidRPr="00AA7C4F">
        <w:rPr>
          <w:rFonts w:ascii="Times New Roman" w:hAnsi="Times New Roman" w:cs="Times New Roman"/>
          <w:sz w:val="24"/>
          <w:szCs w:val="24"/>
        </w:rPr>
        <w:t xml:space="preserve"> some of the mechanisms </w:t>
      </w:r>
      <w:r w:rsidR="003E358D">
        <w:rPr>
          <w:rFonts w:ascii="Times New Roman" w:hAnsi="Times New Roman" w:cs="Times New Roman"/>
          <w:sz w:val="24"/>
          <w:szCs w:val="24"/>
        </w:rPr>
        <w:t xml:space="preserve">that </w:t>
      </w:r>
      <w:r w:rsidR="008A33C3" w:rsidRPr="00AA7C4F">
        <w:rPr>
          <w:rFonts w:ascii="Times New Roman" w:hAnsi="Times New Roman" w:cs="Times New Roman"/>
          <w:sz w:val="24"/>
          <w:szCs w:val="24"/>
        </w:rPr>
        <w:t xml:space="preserve">will reduce agency losses such as incentive schemes </w:t>
      </w:r>
      <w:r w:rsidR="003E358D">
        <w:rPr>
          <w:rFonts w:ascii="Times New Roman" w:hAnsi="Times New Roman" w:cs="Times New Roman"/>
          <w:sz w:val="24"/>
          <w:szCs w:val="24"/>
        </w:rPr>
        <w:t>to compensate</w:t>
      </w:r>
      <w:r w:rsidR="008A33C3" w:rsidRPr="00AA7C4F">
        <w:rPr>
          <w:rFonts w:ascii="Times New Roman" w:hAnsi="Times New Roman" w:cs="Times New Roman"/>
          <w:sz w:val="24"/>
          <w:szCs w:val="24"/>
        </w:rPr>
        <w:t xml:space="preserve"> </w:t>
      </w:r>
      <w:r w:rsidR="003E358D">
        <w:rPr>
          <w:rFonts w:ascii="Times New Roman" w:hAnsi="Times New Roman" w:cs="Times New Roman"/>
          <w:sz w:val="24"/>
          <w:szCs w:val="24"/>
        </w:rPr>
        <w:t xml:space="preserve">managers who have worked very hard </w:t>
      </w:r>
      <w:r w:rsidR="00B9269C">
        <w:rPr>
          <w:rFonts w:ascii="Times New Roman" w:hAnsi="Times New Roman" w:cs="Times New Roman"/>
          <w:sz w:val="24"/>
          <w:szCs w:val="24"/>
        </w:rPr>
        <w:t>to</w:t>
      </w:r>
      <w:r w:rsidR="008A33C3" w:rsidRPr="00AA7C4F">
        <w:rPr>
          <w:rFonts w:ascii="Times New Roman" w:hAnsi="Times New Roman" w:cs="Times New Roman"/>
          <w:sz w:val="24"/>
          <w:szCs w:val="24"/>
        </w:rPr>
        <w:t xml:space="preserve"> maximi</w:t>
      </w:r>
      <w:r w:rsidR="00B9269C">
        <w:rPr>
          <w:rFonts w:ascii="Times New Roman" w:hAnsi="Times New Roman" w:cs="Times New Roman"/>
          <w:sz w:val="24"/>
          <w:szCs w:val="24"/>
        </w:rPr>
        <w:t xml:space="preserve">ze shareholder value. </w:t>
      </w:r>
      <w:r w:rsidR="008A33C3">
        <w:rPr>
          <w:rFonts w:ascii="Times New Roman" w:hAnsi="Times New Roman" w:cs="Times New Roman"/>
          <w:sz w:val="24"/>
          <w:szCs w:val="24"/>
        </w:rPr>
        <w:t xml:space="preserve"> </w:t>
      </w:r>
    </w:p>
    <w:p w14:paraId="46C5E645" w14:textId="2D24C127" w:rsidR="00FB3FAC" w:rsidRDefault="00FB3FAC" w:rsidP="00FB3FAC">
      <w:pPr>
        <w:spacing w:after="0" w:line="360" w:lineRule="auto"/>
        <w:jc w:val="both"/>
        <w:rPr>
          <w:rFonts w:ascii="Times New Roman" w:hAnsi="Times New Roman"/>
          <w:b/>
          <w:color w:val="000000"/>
          <w:sz w:val="24"/>
          <w:szCs w:val="24"/>
        </w:rPr>
      </w:pPr>
    </w:p>
    <w:p w14:paraId="476B8FC6" w14:textId="29FC1532" w:rsidR="003E2ECD" w:rsidRDefault="00701A4B" w:rsidP="00FB3FAC">
      <w:pPr>
        <w:spacing w:after="0" w:line="360" w:lineRule="auto"/>
        <w:jc w:val="both"/>
        <w:rPr>
          <w:rFonts w:ascii="Times New Roman" w:hAnsi="Times New Roman"/>
          <w:b/>
          <w:color w:val="000000"/>
          <w:sz w:val="24"/>
          <w:szCs w:val="24"/>
        </w:rPr>
      </w:pPr>
      <w:r w:rsidRPr="00F10B90">
        <w:rPr>
          <w:rFonts w:ascii="Times New Roman" w:hAnsi="Times New Roman"/>
          <w:b/>
          <w:color w:val="000000"/>
          <w:sz w:val="24"/>
          <w:szCs w:val="24"/>
        </w:rPr>
        <w:t>Conclusion and Recommendations</w:t>
      </w:r>
    </w:p>
    <w:p w14:paraId="1D1B2258" w14:textId="3B968420" w:rsidR="0045006B" w:rsidRPr="0045006B" w:rsidRDefault="0045006B" w:rsidP="00FB3FAC">
      <w:pPr>
        <w:spacing w:after="0" w:line="360" w:lineRule="auto"/>
        <w:jc w:val="both"/>
        <w:rPr>
          <w:rFonts w:ascii="Times New Roman" w:eastAsia="Times New Roman" w:hAnsi="Times New Roman" w:cs="Times New Roman"/>
          <w:sz w:val="24"/>
          <w:szCs w:val="24"/>
        </w:rPr>
      </w:pPr>
      <w:r w:rsidRPr="0045006B">
        <w:rPr>
          <w:rFonts w:ascii="Times New Roman" w:hAnsi="Times New Roman" w:cs="Times New Roman"/>
          <w:sz w:val="24"/>
          <w:szCs w:val="24"/>
        </w:rPr>
        <w:t>The paper</w:t>
      </w:r>
      <w:r w:rsidR="00701A4B" w:rsidRPr="0045006B">
        <w:rPr>
          <w:rFonts w:ascii="Times New Roman" w:hAnsi="Times New Roman" w:cs="Times New Roman"/>
          <w:sz w:val="24"/>
          <w:szCs w:val="24"/>
        </w:rPr>
        <w:t xml:space="preserve"> concluded that the </w:t>
      </w:r>
      <w:r w:rsidR="005D2FEA" w:rsidRPr="0045006B">
        <w:rPr>
          <w:rFonts w:ascii="Times New Roman" w:hAnsi="Times New Roman" w:cs="Times New Roman"/>
          <w:sz w:val="24"/>
          <w:szCs w:val="24"/>
        </w:rPr>
        <w:t xml:space="preserve">ownership concentration has </w:t>
      </w:r>
      <w:r w:rsidR="00C03CFB" w:rsidRPr="0045006B">
        <w:rPr>
          <w:rFonts w:ascii="Times New Roman" w:hAnsi="Times New Roman" w:cs="Times New Roman"/>
          <w:sz w:val="24"/>
          <w:szCs w:val="24"/>
        </w:rPr>
        <w:t xml:space="preserve">a </w:t>
      </w:r>
      <w:r w:rsidR="005D2FEA" w:rsidRPr="0045006B">
        <w:rPr>
          <w:rFonts w:ascii="Times New Roman" w:hAnsi="Times New Roman" w:cs="Times New Roman"/>
          <w:sz w:val="24"/>
          <w:szCs w:val="24"/>
        </w:rPr>
        <w:t xml:space="preserve">negative effect on </w:t>
      </w:r>
      <w:r w:rsidR="00C03CFB" w:rsidRPr="0045006B">
        <w:rPr>
          <w:rFonts w:ascii="Times New Roman" w:hAnsi="Times New Roman" w:cs="Times New Roman"/>
          <w:sz w:val="24"/>
          <w:szCs w:val="24"/>
        </w:rPr>
        <w:t xml:space="preserve">a </w:t>
      </w:r>
      <w:r w:rsidR="00B9269C" w:rsidRPr="0045006B">
        <w:rPr>
          <w:rFonts w:ascii="Times New Roman" w:hAnsi="Times New Roman" w:cs="Times New Roman"/>
          <w:sz w:val="24"/>
          <w:szCs w:val="24"/>
        </w:rPr>
        <w:t>non-performing</w:t>
      </w:r>
      <w:r w:rsidR="005D2FEA" w:rsidRPr="0045006B">
        <w:rPr>
          <w:rFonts w:ascii="Times New Roman" w:hAnsi="Times New Roman" w:cs="Times New Roman"/>
          <w:sz w:val="24"/>
          <w:szCs w:val="24"/>
        </w:rPr>
        <w:t xml:space="preserve"> loan</w:t>
      </w:r>
      <w:r w:rsidR="00C03CFB" w:rsidRPr="0045006B">
        <w:rPr>
          <w:rFonts w:ascii="Times New Roman" w:hAnsi="Times New Roman" w:cs="Times New Roman"/>
          <w:sz w:val="24"/>
          <w:szCs w:val="24"/>
        </w:rPr>
        <w:t>s</w:t>
      </w:r>
      <w:r w:rsidR="005D2FEA" w:rsidRPr="0045006B">
        <w:rPr>
          <w:rFonts w:ascii="Times New Roman" w:hAnsi="Times New Roman" w:cs="Times New Roman"/>
          <w:sz w:val="24"/>
          <w:szCs w:val="24"/>
        </w:rPr>
        <w:t xml:space="preserve"> of deposit money banks in Nigeria. This implies that </w:t>
      </w:r>
      <w:r w:rsidR="00B9269C" w:rsidRPr="0045006B">
        <w:rPr>
          <w:rFonts w:ascii="Times New Roman" w:hAnsi="Times New Roman" w:cs="Times New Roman"/>
          <w:sz w:val="24"/>
          <w:szCs w:val="24"/>
        </w:rPr>
        <w:t xml:space="preserve">as </w:t>
      </w:r>
      <w:r w:rsidR="00560A61" w:rsidRPr="0045006B">
        <w:rPr>
          <w:rFonts w:ascii="Times New Roman" w:hAnsi="Times New Roman" w:cs="Times New Roman"/>
          <w:sz w:val="24"/>
          <w:szCs w:val="24"/>
        </w:rPr>
        <w:t xml:space="preserve">ownership concentration </w:t>
      </w:r>
      <w:r w:rsidR="00B9269C" w:rsidRPr="0045006B">
        <w:rPr>
          <w:rFonts w:ascii="Times New Roman" w:hAnsi="Times New Roman" w:cs="Times New Roman"/>
          <w:sz w:val="24"/>
          <w:szCs w:val="24"/>
        </w:rPr>
        <w:t>increases, the level of NPLs decreases</w:t>
      </w:r>
      <w:r w:rsidR="00441ECC" w:rsidRPr="0045006B">
        <w:rPr>
          <w:rFonts w:ascii="Times New Roman" w:hAnsi="Times New Roman" w:cs="Times New Roman"/>
          <w:sz w:val="24"/>
          <w:szCs w:val="24"/>
        </w:rPr>
        <w:t xml:space="preserve">, while banks with dispersed ownership tend to witness </w:t>
      </w:r>
      <w:r w:rsidR="00C03CFB" w:rsidRPr="0045006B">
        <w:rPr>
          <w:rFonts w:ascii="Times New Roman" w:hAnsi="Times New Roman" w:cs="Times New Roman"/>
          <w:sz w:val="24"/>
          <w:szCs w:val="24"/>
        </w:rPr>
        <w:t xml:space="preserve">a </w:t>
      </w:r>
      <w:r w:rsidR="00441ECC" w:rsidRPr="0045006B">
        <w:rPr>
          <w:rFonts w:ascii="Times New Roman" w:hAnsi="Times New Roman" w:cs="Times New Roman"/>
          <w:sz w:val="24"/>
          <w:szCs w:val="24"/>
        </w:rPr>
        <w:t xml:space="preserve">significant rise in the level of bad loans. </w:t>
      </w:r>
      <w:r w:rsidR="00CF3996" w:rsidRPr="0045006B">
        <w:rPr>
          <w:rFonts w:ascii="Times New Roman" w:hAnsi="Times New Roman" w:cs="Times New Roman"/>
          <w:sz w:val="24"/>
          <w:szCs w:val="24"/>
        </w:rPr>
        <w:t>However,</w:t>
      </w:r>
      <w:r w:rsidR="00560A61" w:rsidRPr="0045006B">
        <w:rPr>
          <w:rFonts w:ascii="Times New Roman" w:hAnsi="Times New Roman" w:cs="Times New Roman"/>
          <w:sz w:val="24"/>
          <w:szCs w:val="24"/>
        </w:rPr>
        <w:t xml:space="preserve"> </w:t>
      </w:r>
      <w:r w:rsidR="00441ECC" w:rsidRPr="0045006B">
        <w:rPr>
          <w:rFonts w:ascii="Times New Roman" w:hAnsi="Times New Roman" w:cs="Times New Roman"/>
          <w:sz w:val="24"/>
          <w:szCs w:val="24"/>
        </w:rPr>
        <w:t>t</w:t>
      </w:r>
      <w:r w:rsidR="00560A61" w:rsidRPr="0045006B">
        <w:rPr>
          <w:rFonts w:ascii="Times New Roman" w:hAnsi="Times New Roman" w:cs="Times New Roman"/>
          <w:sz w:val="24"/>
          <w:szCs w:val="24"/>
        </w:rPr>
        <w:t xml:space="preserve">here </w:t>
      </w:r>
      <w:r w:rsidR="00441ECC" w:rsidRPr="0045006B">
        <w:rPr>
          <w:rFonts w:ascii="Times New Roman" w:hAnsi="Times New Roman" w:cs="Times New Roman"/>
          <w:sz w:val="24"/>
          <w:szCs w:val="24"/>
        </w:rPr>
        <w:t>seem</w:t>
      </w:r>
      <w:r w:rsidR="00CD583A" w:rsidRPr="0045006B">
        <w:rPr>
          <w:rFonts w:ascii="Times New Roman" w:hAnsi="Times New Roman" w:cs="Times New Roman"/>
          <w:sz w:val="24"/>
          <w:szCs w:val="24"/>
        </w:rPr>
        <w:t>s</w:t>
      </w:r>
      <w:r w:rsidR="00E60C79" w:rsidRPr="0045006B">
        <w:rPr>
          <w:rFonts w:ascii="Times New Roman" w:hAnsi="Times New Roman" w:cs="Times New Roman"/>
          <w:sz w:val="24"/>
          <w:szCs w:val="24"/>
        </w:rPr>
        <w:t xml:space="preserve"> to</w:t>
      </w:r>
      <w:r w:rsidR="00441ECC" w:rsidRPr="0045006B">
        <w:rPr>
          <w:rFonts w:ascii="Times New Roman" w:hAnsi="Times New Roman" w:cs="Times New Roman"/>
          <w:sz w:val="24"/>
          <w:szCs w:val="24"/>
        </w:rPr>
        <w:t xml:space="preserve"> be</w:t>
      </w:r>
      <w:r w:rsidR="00E60C79" w:rsidRPr="0045006B">
        <w:rPr>
          <w:rFonts w:ascii="Times New Roman" w:hAnsi="Times New Roman" w:cs="Times New Roman"/>
          <w:sz w:val="24"/>
          <w:szCs w:val="24"/>
        </w:rPr>
        <w:t xml:space="preserve"> </w:t>
      </w:r>
      <w:r w:rsidR="00C03CFB" w:rsidRPr="0045006B">
        <w:rPr>
          <w:rFonts w:ascii="Times New Roman" w:hAnsi="Times New Roman" w:cs="Times New Roman"/>
          <w:sz w:val="24"/>
          <w:szCs w:val="24"/>
        </w:rPr>
        <w:t xml:space="preserve">a </w:t>
      </w:r>
      <w:r w:rsidR="00E60C79" w:rsidRPr="0045006B">
        <w:rPr>
          <w:rFonts w:ascii="Times New Roman" w:hAnsi="Times New Roman" w:cs="Times New Roman"/>
          <w:sz w:val="24"/>
          <w:szCs w:val="24"/>
        </w:rPr>
        <w:t xml:space="preserve">conflict of interest between the management and owners of deposit money banks which </w:t>
      </w:r>
      <w:r w:rsidR="00441ECC" w:rsidRPr="0045006B">
        <w:rPr>
          <w:rFonts w:ascii="Times New Roman" w:hAnsi="Times New Roman" w:cs="Times New Roman"/>
          <w:sz w:val="24"/>
          <w:szCs w:val="24"/>
        </w:rPr>
        <w:t>translated</w:t>
      </w:r>
      <w:r w:rsidR="00E60C79" w:rsidRPr="0045006B">
        <w:rPr>
          <w:rFonts w:ascii="Times New Roman" w:hAnsi="Times New Roman" w:cs="Times New Roman"/>
          <w:sz w:val="24"/>
          <w:szCs w:val="24"/>
        </w:rPr>
        <w:t xml:space="preserve"> to </w:t>
      </w:r>
      <w:r w:rsidR="00C03CFB" w:rsidRPr="0045006B">
        <w:rPr>
          <w:rFonts w:ascii="Times New Roman" w:hAnsi="Times New Roman" w:cs="Times New Roman"/>
          <w:sz w:val="24"/>
          <w:szCs w:val="24"/>
        </w:rPr>
        <w:t xml:space="preserve">a </w:t>
      </w:r>
      <w:r w:rsidR="00441ECC" w:rsidRPr="0045006B">
        <w:rPr>
          <w:rFonts w:ascii="Times New Roman" w:hAnsi="Times New Roman" w:cs="Times New Roman"/>
          <w:sz w:val="24"/>
          <w:szCs w:val="24"/>
        </w:rPr>
        <w:t>high level of</w:t>
      </w:r>
      <w:r w:rsidR="00E60C79" w:rsidRPr="0045006B">
        <w:rPr>
          <w:rFonts w:ascii="Times New Roman" w:hAnsi="Times New Roman" w:cs="Times New Roman"/>
          <w:sz w:val="24"/>
          <w:szCs w:val="24"/>
        </w:rPr>
        <w:t xml:space="preserve"> non-performing loan</w:t>
      </w:r>
      <w:r w:rsidR="00441ECC" w:rsidRPr="0045006B">
        <w:rPr>
          <w:rFonts w:ascii="Times New Roman" w:hAnsi="Times New Roman" w:cs="Times New Roman"/>
          <w:sz w:val="24"/>
          <w:szCs w:val="24"/>
        </w:rPr>
        <w:t>s</w:t>
      </w:r>
      <w:r w:rsidR="00E60C79" w:rsidRPr="0045006B">
        <w:rPr>
          <w:rFonts w:ascii="Times New Roman" w:hAnsi="Times New Roman" w:cs="Times New Roman"/>
          <w:sz w:val="24"/>
          <w:szCs w:val="24"/>
        </w:rPr>
        <w:t xml:space="preserve"> in the organization.</w:t>
      </w:r>
      <w:r w:rsidRPr="0045006B">
        <w:rPr>
          <w:rFonts w:ascii="Times New Roman" w:hAnsi="Times New Roman" w:cs="Times New Roman"/>
          <w:sz w:val="24"/>
          <w:szCs w:val="24"/>
        </w:rPr>
        <w:t xml:space="preserve"> </w:t>
      </w:r>
      <w:r w:rsidR="00701A4B" w:rsidRPr="0045006B">
        <w:rPr>
          <w:rFonts w:ascii="Times New Roman" w:hAnsi="Times New Roman" w:cs="Times New Roman"/>
          <w:color w:val="000000"/>
          <w:sz w:val="24"/>
          <w:szCs w:val="24"/>
        </w:rPr>
        <w:t>T</w:t>
      </w:r>
      <w:r w:rsidR="00C03CFB" w:rsidRPr="0045006B">
        <w:rPr>
          <w:rFonts w:ascii="Times New Roman" w:hAnsi="Times New Roman" w:cs="Times New Roman"/>
          <w:color w:val="000000"/>
          <w:sz w:val="24"/>
          <w:szCs w:val="24"/>
        </w:rPr>
        <w:t>herefore,</w:t>
      </w:r>
      <w:r w:rsidR="00701A4B" w:rsidRPr="0045006B">
        <w:rPr>
          <w:rFonts w:ascii="Times New Roman" w:hAnsi="Times New Roman" w:cs="Times New Roman"/>
          <w:color w:val="000000"/>
          <w:sz w:val="24"/>
          <w:szCs w:val="24"/>
        </w:rPr>
        <w:t xml:space="preserve"> </w:t>
      </w:r>
      <w:r w:rsidRPr="0045006B">
        <w:rPr>
          <w:rFonts w:ascii="Times New Roman" w:hAnsi="Times New Roman" w:cs="Times New Roman"/>
          <w:color w:val="000000"/>
          <w:sz w:val="24"/>
          <w:szCs w:val="24"/>
        </w:rPr>
        <w:t xml:space="preserve">the paper </w:t>
      </w:r>
      <w:r w:rsidR="00701A4B" w:rsidRPr="0045006B">
        <w:rPr>
          <w:rFonts w:ascii="Times New Roman" w:hAnsi="Times New Roman" w:cs="Times New Roman"/>
          <w:color w:val="000000"/>
          <w:sz w:val="24"/>
          <w:szCs w:val="24"/>
        </w:rPr>
        <w:t>recommend</w:t>
      </w:r>
      <w:r w:rsidR="00FB3FAC">
        <w:rPr>
          <w:rFonts w:ascii="Times New Roman" w:hAnsi="Times New Roman" w:cs="Times New Roman"/>
          <w:color w:val="000000"/>
          <w:sz w:val="24"/>
          <w:szCs w:val="24"/>
        </w:rPr>
        <w:t>ed the</w:t>
      </w:r>
      <w:r w:rsidRPr="0045006B">
        <w:rPr>
          <w:rFonts w:ascii="Times New Roman" w:hAnsi="Times New Roman" w:cs="Times New Roman"/>
          <w:color w:val="000000"/>
          <w:sz w:val="24"/>
          <w:szCs w:val="24"/>
        </w:rPr>
        <w:t xml:space="preserve"> following: </w:t>
      </w:r>
    </w:p>
    <w:p w14:paraId="0FE72BBE" w14:textId="4FE650EC" w:rsidR="00FB3FAC" w:rsidRDefault="0045006B" w:rsidP="00FB3FAC">
      <w:pPr>
        <w:pStyle w:val="NormalWeb"/>
        <w:numPr>
          <w:ilvl w:val="0"/>
          <w:numId w:val="3"/>
        </w:numPr>
        <w:spacing w:before="0" w:beforeAutospacing="0" w:after="0" w:afterAutospacing="0" w:line="360" w:lineRule="auto"/>
        <w:jc w:val="both"/>
        <w:rPr>
          <w:color w:val="000000"/>
        </w:rPr>
      </w:pPr>
      <w:r>
        <w:rPr>
          <w:color w:val="000000"/>
        </w:rPr>
        <w:t>T</w:t>
      </w:r>
      <w:r w:rsidR="00BB0897">
        <w:rPr>
          <w:color w:val="000000"/>
        </w:rPr>
        <w:t>he Central Bank of Nigeria</w:t>
      </w:r>
      <w:r w:rsidR="0010633E">
        <w:rPr>
          <w:color w:val="000000"/>
        </w:rPr>
        <w:t xml:space="preserve"> should</w:t>
      </w:r>
      <w:r w:rsidR="00BB0897">
        <w:rPr>
          <w:color w:val="000000"/>
        </w:rPr>
        <w:t xml:space="preserve"> </w:t>
      </w:r>
      <w:r w:rsidR="00A610AE">
        <w:rPr>
          <w:color w:val="000000"/>
        </w:rPr>
        <w:t>sustain</w:t>
      </w:r>
      <w:r w:rsidR="00350376">
        <w:rPr>
          <w:color w:val="000000"/>
        </w:rPr>
        <w:t xml:space="preserve"> and</w:t>
      </w:r>
      <w:r w:rsidR="00A610AE">
        <w:rPr>
          <w:color w:val="000000"/>
        </w:rPr>
        <w:t xml:space="preserve"> invigorate </w:t>
      </w:r>
      <w:r w:rsidR="00350376">
        <w:rPr>
          <w:color w:val="000000"/>
        </w:rPr>
        <w:t xml:space="preserve">the formulation of </w:t>
      </w:r>
      <w:r w:rsidR="00A610AE">
        <w:rPr>
          <w:color w:val="000000"/>
        </w:rPr>
        <w:t>new policies</w:t>
      </w:r>
      <w:r w:rsidR="00BB0897">
        <w:rPr>
          <w:color w:val="000000"/>
        </w:rPr>
        <w:t xml:space="preserve"> </w:t>
      </w:r>
      <w:r w:rsidR="00873070">
        <w:rPr>
          <w:color w:val="000000"/>
        </w:rPr>
        <w:t>on ownership</w:t>
      </w:r>
      <w:r w:rsidR="00BB0897">
        <w:rPr>
          <w:color w:val="000000"/>
        </w:rPr>
        <w:t xml:space="preserve"> </w:t>
      </w:r>
      <w:r w:rsidR="00A610AE">
        <w:rPr>
          <w:color w:val="000000"/>
        </w:rPr>
        <w:t xml:space="preserve">structure </w:t>
      </w:r>
      <w:r w:rsidR="00BB0897">
        <w:rPr>
          <w:color w:val="000000"/>
        </w:rPr>
        <w:t xml:space="preserve">in deposit money banks </w:t>
      </w:r>
      <w:r w:rsidR="00873070">
        <w:rPr>
          <w:color w:val="000000"/>
        </w:rPr>
        <w:t xml:space="preserve">to </w:t>
      </w:r>
      <w:r w:rsidR="000C55D7">
        <w:rPr>
          <w:color w:val="000000"/>
        </w:rPr>
        <w:t>forestall</w:t>
      </w:r>
      <w:r w:rsidR="00A610AE">
        <w:rPr>
          <w:color w:val="000000"/>
        </w:rPr>
        <w:t xml:space="preserve"> the rising cases of non-</w:t>
      </w:r>
      <w:r w:rsidR="00F92F00">
        <w:rPr>
          <w:color w:val="000000"/>
        </w:rPr>
        <w:t xml:space="preserve">performing loans in the sector. </w:t>
      </w:r>
      <w:r w:rsidR="00A610AE">
        <w:rPr>
          <w:color w:val="000000"/>
        </w:rPr>
        <w:t xml:space="preserve">This </w:t>
      </w:r>
      <w:r w:rsidR="00C12E38">
        <w:rPr>
          <w:color w:val="000000"/>
        </w:rPr>
        <w:t xml:space="preserve">can be achieved through </w:t>
      </w:r>
      <w:r w:rsidR="00C03CFB">
        <w:rPr>
          <w:color w:val="000000"/>
        </w:rPr>
        <w:t xml:space="preserve">the </w:t>
      </w:r>
      <w:r w:rsidR="00C12E38">
        <w:rPr>
          <w:color w:val="000000"/>
        </w:rPr>
        <w:t xml:space="preserve">active </w:t>
      </w:r>
      <w:r w:rsidR="00C12E38">
        <w:rPr>
          <w:color w:val="000000"/>
        </w:rPr>
        <w:lastRenderedPageBreak/>
        <w:t>participation of foreign investors</w:t>
      </w:r>
      <w:r w:rsidR="000C55D7">
        <w:rPr>
          <w:color w:val="000000"/>
        </w:rPr>
        <w:t xml:space="preserve"> to</w:t>
      </w:r>
      <w:r w:rsidR="00A610AE">
        <w:rPr>
          <w:color w:val="000000"/>
        </w:rPr>
        <w:t xml:space="preserve"> further </w:t>
      </w:r>
      <w:r w:rsidR="00350376">
        <w:rPr>
          <w:color w:val="000000"/>
        </w:rPr>
        <w:t>diminish</w:t>
      </w:r>
      <w:r w:rsidR="00A610AE">
        <w:rPr>
          <w:color w:val="000000"/>
        </w:rPr>
        <w:t xml:space="preserve"> the increasing </w:t>
      </w:r>
      <w:r w:rsidR="00697552">
        <w:rPr>
          <w:color w:val="000000"/>
        </w:rPr>
        <w:t>pace of</w:t>
      </w:r>
      <w:r w:rsidR="00A610AE">
        <w:rPr>
          <w:color w:val="000000"/>
        </w:rPr>
        <w:t xml:space="preserve"> </w:t>
      </w:r>
      <w:r w:rsidR="00873070">
        <w:rPr>
          <w:color w:val="000000"/>
        </w:rPr>
        <w:t>bank crises and collapse due to nonperforming loan</w:t>
      </w:r>
      <w:r w:rsidR="000C55D7">
        <w:rPr>
          <w:color w:val="000000"/>
        </w:rPr>
        <w:t>s</w:t>
      </w:r>
      <w:r w:rsidR="00873070">
        <w:rPr>
          <w:color w:val="000000"/>
        </w:rPr>
        <w:t>.</w:t>
      </w:r>
      <w:r w:rsidR="00350376">
        <w:rPr>
          <w:color w:val="000000"/>
        </w:rPr>
        <w:t xml:space="preserve"> </w:t>
      </w:r>
    </w:p>
    <w:p w14:paraId="51BB428D" w14:textId="77777777" w:rsidR="00FB3FAC" w:rsidRPr="00FB3FAC" w:rsidRDefault="00FB3FAC" w:rsidP="00FB3FAC">
      <w:pPr>
        <w:pStyle w:val="NormalWeb"/>
        <w:spacing w:before="0" w:beforeAutospacing="0" w:after="0" w:afterAutospacing="0" w:line="360" w:lineRule="auto"/>
        <w:ind w:left="720"/>
        <w:jc w:val="both"/>
        <w:rPr>
          <w:color w:val="000000"/>
        </w:rPr>
      </w:pPr>
    </w:p>
    <w:p w14:paraId="5C951F02" w14:textId="685918C2" w:rsidR="00FB3FAC" w:rsidRDefault="000912C4" w:rsidP="00FB3FAC">
      <w:pPr>
        <w:pStyle w:val="NormalWeb"/>
        <w:numPr>
          <w:ilvl w:val="0"/>
          <w:numId w:val="3"/>
        </w:numPr>
        <w:spacing w:before="0" w:beforeAutospacing="0" w:after="0" w:afterAutospacing="0" w:line="360" w:lineRule="auto"/>
        <w:jc w:val="both"/>
        <w:rPr>
          <w:color w:val="000000"/>
        </w:rPr>
      </w:pPr>
      <w:r w:rsidRPr="00FB3FAC">
        <w:rPr>
          <w:color w:val="000000"/>
        </w:rPr>
        <w:t xml:space="preserve">Other banks should be closely monitored to ensure that they comply with </w:t>
      </w:r>
      <w:r w:rsidR="00C03CFB" w:rsidRPr="00FB3FAC">
        <w:rPr>
          <w:color w:val="000000"/>
        </w:rPr>
        <w:t xml:space="preserve">the </w:t>
      </w:r>
      <w:r w:rsidRPr="00FB3FAC">
        <w:rPr>
          <w:color w:val="000000"/>
        </w:rPr>
        <w:t>corporate governance system</w:t>
      </w:r>
      <w:r w:rsidR="00C03CFB" w:rsidRPr="00FB3FAC">
        <w:rPr>
          <w:color w:val="000000"/>
        </w:rPr>
        <w:t>s</w:t>
      </w:r>
      <w:r w:rsidRPr="00FB3FAC">
        <w:rPr>
          <w:color w:val="000000"/>
        </w:rPr>
        <w:t xml:space="preserve"> that will enable them to improve their loan quality.</w:t>
      </w:r>
      <w:r w:rsidR="00C237AE" w:rsidRPr="00FB3FAC">
        <w:rPr>
          <w:color w:val="000000"/>
        </w:rPr>
        <w:t xml:space="preserve"> </w:t>
      </w:r>
    </w:p>
    <w:p w14:paraId="3D17C5BC" w14:textId="1BB297B9" w:rsidR="00FB3FAC" w:rsidRPr="00FB3FAC" w:rsidRDefault="00FB3FAC" w:rsidP="00FB3FAC">
      <w:pPr>
        <w:pStyle w:val="NormalWeb"/>
        <w:spacing w:before="0" w:beforeAutospacing="0" w:after="0" w:afterAutospacing="0" w:line="360" w:lineRule="auto"/>
        <w:jc w:val="both"/>
        <w:rPr>
          <w:color w:val="000000"/>
        </w:rPr>
      </w:pPr>
    </w:p>
    <w:p w14:paraId="796EDED9" w14:textId="1C41435C" w:rsidR="00701A4B" w:rsidRPr="00FB3FAC" w:rsidRDefault="00FA75E0" w:rsidP="00FB3FAC">
      <w:pPr>
        <w:pStyle w:val="NormalWeb"/>
        <w:numPr>
          <w:ilvl w:val="0"/>
          <w:numId w:val="3"/>
        </w:numPr>
        <w:spacing w:before="0" w:beforeAutospacing="0" w:after="0" w:afterAutospacing="0" w:line="360" w:lineRule="auto"/>
        <w:jc w:val="both"/>
        <w:rPr>
          <w:color w:val="000000"/>
        </w:rPr>
      </w:pPr>
      <w:r w:rsidRPr="00FB3FAC">
        <w:rPr>
          <w:color w:val="000000"/>
        </w:rPr>
        <w:t>The</w:t>
      </w:r>
      <w:r w:rsidR="00331CEC" w:rsidRPr="00FB3FAC">
        <w:rPr>
          <w:color w:val="000000"/>
        </w:rPr>
        <w:t xml:space="preserve"> regulatory institution</w:t>
      </w:r>
      <w:r w:rsidRPr="00FB3FAC">
        <w:rPr>
          <w:color w:val="000000"/>
        </w:rPr>
        <w:t xml:space="preserve"> should </w:t>
      </w:r>
      <w:r w:rsidR="00331CEC" w:rsidRPr="00FB3FAC">
        <w:rPr>
          <w:color w:val="000000"/>
        </w:rPr>
        <w:t xml:space="preserve">also </w:t>
      </w:r>
      <w:r w:rsidRPr="00FB3FAC">
        <w:rPr>
          <w:color w:val="000000"/>
        </w:rPr>
        <w:t>ensure that the neg</w:t>
      </w:r>
      <w:r w:rsidR="007D78E1" w:rsidRPr="00FB3FAC">
        <w:rPr>
          <w:color w:val="000000"/>
        </w:rPr>
        <w:t xml:space="preserve">ative effect of ownership </w:t>
      </w:r>
      <w:r w:rsidR="00062268" w:rsidRPr="00FB3FAC">
        <w:rPr>
          <w:color w:val="000000"/>
        </w:rPr>
        <w:t xml:space="preserve">concentration </w:t>
      </w:r>
      <w:r w:rsidR="00697552" w:rsidRPr="00FB3FAC">
        <w:rPr>
          <w:color w:val="000000"/>
        </w:rPr>
        <w:t>on non-performing assets is sustained</w:t>
      </w:r>
      <w:r w:rsidR="007D78E1" w:rsidRPr="00FB3FAC">
        <w:rPr>
          <w:color w:val="000000"/>
        </w:rPr>
        <w:t xml:space="preserve"> </w:t>
      </w:r>
      <w:r w:rsidR="00697552" w:rsidRPr="00FB3FAC">
        <w:rPr>
          <w:color w:val="000000"/>
        </w:rPr>
        <w:t>through</w:t>
      </w:r>
      <w:r w:rsidR="00331CEC" w:rsidRPr="00FB3FAC">
        <w:rPr>
          <w:color w:val="000000"/>
        </w:rPr>
        <w:t xml:space="preserve"> </w:t>
      </w:r>
      <w:r w:rsidR="00C12E38" w:rsidRPr="00FB3FAC">
        <w:rPr>
          <w:color w:val="000000"/>
        </w:rPr>
        <w:t>the injection of capital and technology by</w:t>
      </w:r>
      <w:r w:rsidR="00331CEC" w:rsidRPr="00FB3FAC">
        <w:rPr>
          <w:color w:val="000000"/>
        </w:rPr>
        <w:t xml:space="preserve"> foreign investors</w:t>
      </w:r>
      <w:r w:rsidR="00697552" w:rsidRPr="00FB3FAC">
        <w:rPr>
          <w:color w:val="000000"/>
        </w:rPr>
        <w:t xml:space="preserve"> to </w:t>
      </w:r>
      <w:r w:rsidR="00130465" w:rsidRPr="00FB3FAC">
        <w:rPr>
          <w:color w:val="000000"/>
        </w:rPr>
        <w:t>boost</w:t>
      </w:r>
      <w:r w:rsidR="00331CEC" w:rsidRPr="00FB3FAC">
        <w:rPr>
          <w:color w:val="000000"/>
        </w:rPr>
        <w:t xml:space="preserve"> performance and </w:t>
      </w:r>
      <w:r w:rsidR="00C12E38" w:rsidRPr="00FB3FAC">
        <w:rPr>
          <w:color w:val="000000"/>
        </w:rPr>
        <w:t>lower the level</w:t>
      </w:r>
      <w:r w:rsidR="00331CEC" w:rsidRPr="00FB3FAC">
        <w:rPr>
          <w:color w:val="000000"/>
        </w:rPr>
        <w:t xml:space="preserve"> of bad loans in the banking sector.</w:t>
      </w:r>
    </w:p>
    <w:bookmarkEnd w:id="3"/>
    <w:p w14:paraId="7D18C774" w14:textId="14B2EA8A" w:rsidR="00ED78DF" w:rsidRDefault="00ED78DF" w:rsidP="00FB3FAC">
      <w:pPr>
        <w:autoSpaceDE w:val="0"/>
        <w:autoSpaceDN w:val="0"/>
        <w:adjustRightInd w:val="0"/>
        <w:spacing w:after="0" w:line="240" w:lineRule="auto"/>
        <w:ind w:right="8"/>
        <w:jc w:val="both"/>
        <w:rPr>
          <w:rFonts w:ascii="Times New Roman" w:hAnsi="Times New Roman" w:cs="Times New Roman"/>
          <w:sz w:val="24"/>
          <w:szCs w:val="24"/>
        </w:rPr>
      </w:pPr>
    </w:p>
    <w:p w14:paraId="04F7111B" w14:textId="77777777" w:rsidR="00CE46EA" w:rsidRDefault="00CE46EA" w:rsidP="00FB3FAC">
      <w:pPr>
        <w:spacing w:after="0"/>
        <w:rPr>
          <w:rFonts w:ascii="Times New Roman" w:hAnsi="Times New Roman" w:cs="Times New Roman"/>
          <w:b/>
          <w:bCs/>
          <w:sz w:val="24"/>
          <w:szCs w:val="24"/>
        </w:rPr>
      </w:pPr>
      <w:r>
        <w:rPr>
          <w:rFonts w:ascii="Times New Roman" w:hAnsi="Times New Roman" w:cs="Times New Roman"/>
          <w:b/>
          <w:bCs/>
          <w:sz w:val="24"/>
          <w:szCs w:val="24"/>
        </w:rPr>
        <w:br w:type="page"/>
      </w:r>
    </w:p>
    <w:p w14:paraId="2EDC608A" w14:textId="5EE1B5E5" w:rsidR="007D78E1" w:rsidRDefault="007C6A53" w:rsidP="00FB3FAC">
      <w:pPr>
        <w:autoSpaceDE w:val="0"/>
        <w:autoSpaceDN w:val="0"/>
        <w:adjustRightInd w:val="0"/>
        <w:spacing w:after="0" w:line="240" w:lineRule="auto"/>
        <w:ind w:right="8"/>
        <w:jc w:val="center"/>
        <w:rPr>
          <w:rFonts w:ascii="Times New Roman" w:hAnsi="Times New Roman" w:cs="Times New Roman"/>
          <w:b/>
          <w:bCs/>
          <w:sz w:val="24"/>
          <w:szCs w:val="24"/>
        </w:rPr>
      </w:pPr>
      <w:r w:rsidRPr="007D78E1">
        <w:rPr>
          <w:rFonts w:ascii="Times New Roman" w:hAnsi="Times New Roman" w:cs="Times New Roman"/>
          <w:b/>
          <w:bCs/>
          <w:sz w:val="24"/>
          <w:szCs w:val="24"/>
        </w:rPr>
        <w:lastRenderedPageBreak/>
        <w:t>REFERENCES</w:t>
      </w:r>
    </w:p>
    <w:p w14:paraId="7F6557BA" w14:textId="77777777" w:rsidR="007C6A53" w:rsidRDefault="007C6A53" w:rsidP="00FB3FAC">
      <w:pPr>
        <w:autoSpaceDE w:val="0"/>
        <w:autoSpaceDN w:val="0"/>
        <w:adjustRightInd w:val="0"/>
        <w:spacing w:after="0" w:line="240" w:lineRule="auto"/>
        <w:ind w:right="8"/>
        <w:jc w:val="both"/>
        <w:rPr>
          <w:rFonts w:ascii="Times New Roman" w:hAnsi="Times New Roman" w:cs="Times New Roman"/>
          <w:bCs/>
          <w:sz w:val="24"/>
          <w:szCs w:val="24"/>
        </w:rPr>
      </w:pPr>
    </w:p>
    <w:p w14:paraId="71E48D51" w14:textId="57700464" w:rsidR="007C6A53" w:rsidRDefault="00464B25" w:rsidP="00FB3FAC">
      <w:pPr>
        <w:autoSpaceDE w:val="0"/>
        <w:autoSpaceDN w:val="0"/>
        <w:adjustRightInd w:val="0"/>
        <w:spacing w:after="0" w:line="240" w:lineRule="auto"/>
        <w:ind w:right="8"/>
        <w:jc w:val="both"/>
        <w:rPr>
          <w:rFonts w:ascii="Times New Roman" w:hAnsi="Times New Roman" w:cs="Times New Roman"/>
          <w:bCs/>
          <w:sz w:val="24"/>
          <w:szCs w:val="24"/>
        </w:rPr>
      </w:pPr>
      <w:r w:rsidRPr="00464B25">
        <w:rPr>
          <w:rFonts w:ascii="Times New Roman" w:hAnsi="Times New Roman" w:cs="Times New Roman"/>
          <w:bCs/>
          <w:sz w:val="24"/>
          <w:szCs w:val="24"/>
        </w:rPr>
        <w:t xml:space="preserve">Abdullatif, A. Freeman, O. </w:t>
      </w:r>
      <w:r w:rsidRPr="00464B25">
        <w:rPr>
          <w:rFonts w:ascii="Times New Roman" w:hAnsi="Times New Roman" w:cs="Times New Roman"/>
          <w:bCs/>
          <w:sz w:val="24"/>
          <w:szCs w:val="24"/>
        </w:rPr>
        <w:softHyphen/>
        <w:t>&amp; Michael, E. (2014)</w:t>
      </w:r>
      <w:r>
        <w:rPr>
          <w:rFonts w:ascii="Times New Roman" w:hAnsi="Times New Roman" w:cs="Times New Roman"/>
          <w:bCs/>
          <w:sz w:val="24"/>
          <w:szCs w:val="24"/>
        </w:rPr>
        <w:t xml:space="preserve"> Does Asset quality persist on bank lending </w:t>
      </w:r>
      <w:r w:rsidR="007C6A53">
        <w:rPr>
          <w:rFonts w:ascii="Times New Roman" w:hAnsi="Times New Roman" w:cs="Times New Roman"/>
          <w:bCs/>
          <w:sz w:val="24"/>
          <w:szCs w:val="24"/>
        </w:rPr>
        <w:t xml:space="preserve"> </w:t>
      </w:r>
    </w:p>
    <w:p w14:paraId="37E119F1" w14:textId="6C44E384" w:rsidR="00464B25" w:rsidRPr="00464B25" w:rsidRDefault="00464B25" w:rsidP="00FB3FAC">
      <w:pPr>
        <w:autoSpaceDE w:val="0"/>
        <w:autoSpaceDN w:val="0"/>
        <w:adjustRightInd w:val="0"/>
        <w:spacing w:after="0" w:line="240" w:lineRule="auto"/>
        <w:ind w:left="720" w:right="8"/>
        <w:jc w:val="both"/>
        <w:rPr>
          <w:rFonts w:ascii="Times New Roman" w:hAnsi="Times New Roman" w:cs="Times New Roman"/>
          <w:bCs/>
          <w:sz w:val="24"/>
          <w:szCs w:val="24"/>
        </w:rPr>
      </w:pPr>
      <w:proofErr w:type="spellStart"/>
      <w:r>
        <w:rPr>
          <w:rFonts w:ascii="Times New Roman" w:hAnsi="Times New Roman" w:cs="Times New Roman"/>
          <w:bCs/>
          <w:sz w:val="24"/>
          <w:szCs w:val="24"/>
        </w:rPr>
        <w:t>behaviour</w:t>
      </w:r>
      <w:proofErr w:type="spellEnd"/>
      <w:r>
        <w:rPr>
          <w:rFonts w:ascii="Times New Roman" w:hAnsi="Times New Roman" w:cs="Times New Roman"/>
          <w:bCs/>
          <w:sz w:val="24"/>
          <w:szCs w:val="24"/>
        </w:rPr>
        <w:t xml:space="preserve">: </w:t>
      </w:r>
      <w:r w:rsidR="007C6A53">
        <w:rPr>
          <w:rFonts w:ascii="Times New Roman" w:hAnsi="Times New Roman" w:cs="Times New Roman"/>
          <w:bCs/>
          <w:sz w:val="24"/>
          <w:szCs w:val="24"/>
        </w:rPr>
        <w:t xml:space="preserve">Empirical evidence from Ghana. </w:t>
      </w:r>
      <w:r w:rsidR="0011011E" w:rsidRPr="007C6A53">
        <w:rPr>
          <w:rFonts w:ascii="Times New Roman" w:hAnsi="Times New Roman" w:cs="Times New Roman"/>
          <w:bCs/>
          <w:i/>
          <w:sz w:val="24"/>
          <w:szCs w:val="24"/>
        </w:rPr>
        <w:t>Global Journal of management and Business Research</w:t>
      </w:r>
      <w:r w:rsidR="0011011E">
        <w:rPr>
          <w:rFonts w:ascii="Times New Roman" w:hAnsi="Times New Roman" w:cs="Times New Roman"/>
          <w:bCs/>
          <w:sz w:val="24"/>
          <w:szCs w:val="24"/>
        </w:rPr>
        <w:t>. 13 (4), 12-22.</w:t>
      </w:r>
    </w:p>
    <w:p w14:paraId="708B29D7" w14:textId="77777777" w:rsidR="007C6A53" w:rsidRDefault="007C6A53" w:rsidP="00FB3FAC">
      <w:pPr>
        <w:autoSpaceDE w:val="0"/>
        <w:autoSpaceDN w:val="0"/>
        <w:adjustRightInd w:val="0"/>
        <w:spacing w:after="0" w:line="240" w:lineRule="auto"/>
        <w:ind w:right="8"/>
        <w:jc w:val="both"/>
        <w:rPr>
          <w:rFonts w:ascii="Times New Roman" w:hAnsi="Times New Roman" w:cs="Times New Roman"/>
          <w:sz w:val="24"/>
          <w:szCs w:val="24"/>
        </w:rPr>
      </w:pPr>
    </w:p>
    <w:p w14:paraId="14E05FD2" w14:textId="4B7F5FCD" w:rsidR="00F95204" w:rsidRDefault="00F95204" w:rsidP="00FB3FAC">
      <w:pPr>
        <w:autoSpaceDE w:val="0"/>
        <w:autoSpaceDN w:val="0"/>
        <w:adjustRightInd w:val="0"/>
        <w:spacing w:after="0" w:line="240" w:lineRule="auto"/>
        <w:ind w:right="8"/>
        <w:jc w:val="both"/>
        <w:rPr>
          <w:rFonts w:ascii="Times New Roman" w:hAnsi="Times New Roman" w:cs="Times New Roman"/>
          <w:sz w:val="24"/>
          <w:szCs w:val="24"/>
        </w:rPr>
      </w:pPr>
      <w:r w:rsidRPr="00FA1C31">
        <w:rPr>
          <w:rFonts w:ascii="Times New Roman" w:hAnsi="Times New Roman" w:cs="Times New Roman"/>
          <w:sz w:val="24"/>
          <w:szCs w:val="24"/>
        </w:rPr>
        <w:t xml:space="preserve">Ajao, M. G. &amp; </w:t>
      </w:r>
      <w:proofErr w:type="spellStart"/>
      <w:r w:rsidRPr="00FA1C31">
        <w:rPr>
          <w:rFonts w:ascii="Times New Roman" w:hAnsi="Times New Roman" w:cs="Times New Roman"/>
          <w:sz w:val="24"/>
          <w:szCs w:val="24"/>
        </w:rPr>
        <w:t>Ejokehuma</w:t>
      </w:r>
      <w:proofErr w:type="spellEnd"/>
      <w:r w:rsidRPr="00FA1C31">
        <w:rPr>
          <w:rFonts w:ascii="Times New Roman" w:hAnsi="Times New Roman" w:cs="Times New Roman"/>
          <w:sz w:val="24"/>
          <w:szCs w:val="24"/>
        </w:rPr>
        <w:t xml:space="preserve">, J. O. (2020). Ownership concentration and financial performance </w:t>
      </w:r>
      <w:r w:rsidRPr="00FA1C31">
        <w:rPr>
          <w:rFonts w:ascii="Times New Roman" w:hAnsi="Times New Roman" w:cs="Times New Roman"/>
          <w:sz w:val="24"/>
          <w:szCs w:val="24"/>
        </w:rPr>
        <w:tab/>
        <w:t xml:space="preserve">of manufacturing firms in Nigeria. </w:t>
      </w:r>
      <w:r w:rsidRPr="007C6A53">
        <w:rPr>
          <w:rFonts w:ascii="Times New Roman" w:hAnsi="Times New Roman" w:cs="Times New Roman"/>
          <w:i/>
          <w:sz w:val="24"/>
          <w:szCs w:val="24"/>
        </w:rPr>
        <w:t>African Journal of Management</w:t>
      </w:r>
      <w:r w:rsidRPr="00FA1C31">
        <w:rPr>
          <w:rFonts w:ascii="Times New Roman" w:hAnsi="Times New Roman" w:cs="Times New Roman"/>
          <w:sz w:val="24"/>
          <w:szCs w:val="24"/>
        </w:rPr>
        <w:t>, 5(3) 60-78</w:t>
      </w:r>
    </w:p>
    <w:p w14:paraId="12B34CF4" w14:textId="77777777" w:rsidR="007C6A53" w:rsidRDefault="007C6A53"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7EC8A9AB" w14:textId="664225DC" w:rsidR="00F95204"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r w:rsidRPr="00C432B2">
        <w:rPr>
          <w:rStyle w:val="markedcontent"/>
          <w:rFonts w:ascii="Times New Roman" w:hAnsi="Times New Roman" w:cs="Times New Roman"/>
          <w:sz w:val="24"/>
          <w:szCs w:val="24"/>
        </w:rPr>
        <w:t xml:space="preserve">Babalola, A. &amp; Abiola, R. (2013). Financial ratios analysis of firms. </w:t>
      </w:r>
      <w:r w:rsidRPr="007C6A53">
        <w:rPr>
          <w:rStyle w:val="markedcontent"/>
          <w:rFonts w:ascii="Times New Roman" w:hAnsi="Times New Roman" w:cs="Times New Roman"/>
          <w:i/>
          <w:sz w:val="24"/>
          <w:szCs w:val="24"/>
        </w:rPr>
        <w:t xml:space="preserve">Journal of Management </w:t>
      </w:r>
      <w:r w:rsidRPr="007C6A53">
        <w:rPr>
          <w:rStyle w:val="markedcontent"/>
          <w:rFonts w:ascii="Times New Roman" w:hAnsi="Times New Roman" w:cs="Times New Roman"/>
          <w:i/>
          <w:sz w:val="24"/>
          <w:szCs w:val="24"/>
        </w:rPr>
        <w:tab/>
        <w:t>Sciences</w:t>
      </w:r>
      <w:r w:rsidRPr="00C432B2">
        <w:rPr>
          <w:rStyle w:val="markedcontent"/>
          <w:rFonts w:ascii="Times New Roman" w:hAnsi="Times New Roman" w:cs="Times New Roman"/>
          <w:sz w:val="24"/>
          <w:szCs w:val="24"/>
        </w:rPr>
        <w:t>,</w:t>
      </w:r>
      <w:r>
        <w:rPr>
          <w:rStyle w:val="markedcontent"/>
          <w:rFonts w:ascii="Times New Roman" w:hAnsi="Times New Roman" w:cs="Times New Roman"/>
          <w:sz w:val="24"/>
          <w:szCs w:val="24"/>
        </w:rPr>
        <w:t xml:space="preserve"> </w:t>
      </w:r>
      <w:r w:rsidRPr="00C432B2">
        <w:rPr>
          <w:rStyle w:val="markedcontent"/>
          <w:rFonts w:ascii="Times New Roman" w:hAnsi="Times New Roman" w:cs="Times New Roman"/>
          <w:sz w:val="24"/>
          <w:szCs w:val="24"/>
        </w:rPr>
        <w:t>1(4), 132-137</w:t>
      </w:r>
    </w:p>
    <w:p w14:paraId="4CF8B22D" w14:textId="77777777" w:rsidR="007C6A53" w:rsidRDefault="007C6A53" w:rsidP="00FB3FAC">
      <w:pPr>
        <w:autoSpaceDE w:val="0"/>
        <w:autoSpaceDN w:val="0"/>
        <w:adjustRightInd w:val="0"/>
        <w:spacing w:after="0" w:line="240" w:lineRule="auto"/>
        <w:ind w:left="567" w:right="8" w:hanging="567"/>
        <w:jc w:val="both"/>
        <w:rPr>
          <w:rFonts w:ascii="Times New Roman" w:hAnsi="Times New Roman" w:cs="Times New Roman"/>
          <w:sz w:val="24"/>
          <w:szCs w:val="24"/>
        </w:rPr>
      </w:pPr>
    </w:p>
    <w:p w14:paraId="7321EFAB" w14:textId="7C33094C" w:rsidR="00F95204" w:rsidRDefault="00F95204" w:rsidP="00FB3FAC">
      <w:pPr>
        <w:autoSpaceDE w:val="0"/>
        <w:autoSpaceDN w:val="0"/>
        <w:adjustRightInd w:val="0"/>
        <w:spacing w:after="0" w:line="240" w:lineRule="auto"/>
        <w:ind w:left="567" w:right="8" w:hanging="567"/>
        <w:jc w:val="both"/>
        <w:rPr>
          <w:rFonts w:ascii="Times New Roman" w:hAnsi="Times New Roman" w:cs="Times New Roman"/>
          <w:sz w:val="24"/>
          <w:szCs w:val="24"/>
        </w:rPr>
      </w:pPr>
      <w:r w:rsidRPr="003037D1">
        <w:rPr>
          <w:rFonts w:ascii="Times New Roman" w:hAnsi="Times New Roman" w:cs="Times New Roman"/>
          <w:sz w:val="24"/>
          <w:szCs w:val="24"/>
        </w:rPr>
        <w:t xml:space="preserve">Benjamin, B., &amp; Dirk, C. (2015). Ownership concentration, institutional development and firm </w:t>
      </w:r>
      <w:r>
        <w:rPr>
          <w:rFonts w:ascii="Times New Roman" w:hAnsi="Times New Roman" w:cs="Times New Roman"/>
          <w:sz w:val="24"/>
          <w:szCs w:val="24"/>
        </w:rPr>
        <w:tab/>
      </w:r>
      <w:r w:rsidRPr="003037D1">
        <w:rPr>
          <w:rFonts w:ascii="Times New Roman" w:hAnsi="Times New Roman" w:cs="Times New Roman"/>
          <w:sz w:val="24"/>
          <w:szCs w:val="24"/>
        </w:rPr>
        <w:t xml:space="preserve">performance in central and eastern Europe. </w:t>
      </w:r>
      <w:r w:rsidRPr="007C6A53">
        <w:rPr>
          <w:rFonts w:ascii="Times New Roman" w:hAnsi="Times New Roman" w:cs="Times New Roman"/>
          <w:i/>
          <w:sz w:val="24"/>
          <w:szCs w:val="24"/>
        </w:rPr>
        <w:t xml:space="preserve">Managerial and Decision Economics </w:t>
      </w:r>
      <w:r w:rsidRPr="007C6A53">
        <w:rPr>
          <w:rFonts w:ascii="Times New Roman" w:hAnsi="Times New Roman" w:cs="Times New Roman"/>
          <w:i/>
          <w:sz w:val="24"/>
          <w:szCs w:val="24"/>
        </w:rPr>
        <w:tab/>
        <w:t>Journal</w:t>
      </w:r>
      <w:r w:rsidRPr="003037D1">
        <w:rPr>
          <w:rFonts w:ascii="Times New Roman" w:hAnsi="Times New Roman" w:cs="Times New Roman"/>
          <w:sz w:val="24"/>
          <w:szCs w:val="24"/>
        </w:rPr>
        <w:t>, 2(1), 119-124.</w:t>
      </w:r>
    </w:p>
    <w:p w14:paraId="182AC66A" w14:textId="77777777" w:rsidR="007C6A53" w:rsidRDefault="007C6A53" w:rsidP="00FB3FAC">
      <w:pPr>
        <w:spacing w:after="0" w:line="240" w:lineRule="auto"/>
        <w:ind w:left="567" w:right="-28" w:hanging="567"/>
        <w:jc w:val="both"/>
        <w:rPr>
          <w:rFonts w:ascii="Times New Roman" w:hAnsi="Times New Roman" w:cs="Times New Roman"/>
          <w:bCs/>
          <w:sz w:val="24"/>
          <w:szCs w:val="24"/>
        </w:rPr>
      </w:pPr>
    </w:p>
    <w:p w14:paraId="77F45859" w14:textId="73A4E67A" w:rsidR="00F95204" w:rsidRDefault="00F95204" w:rsidP="00FB3FAC">
      <w:pPr>
        <w:spacing w:after="0" w:line="240" w:lineRule="auto"/>
        <w:ind w:left="567" w:right="-28" w:hanging="567"/>
        <w:jc w:val="both"/>
        <w:rPr>
          <w:rFonts w:ascii="Times New Roman" w:hAnsi="Times New Roman" w:cs="Times New Roman"/>
          <w:bCs/>
          <w:sz w:val="24"/>
          <w:szCs w:val="24"/>
        </w:rPr>
      </w:pPr>
      <w:proofErr w:type="spellStart"/>
      <w:r>
        <w:rPr>
          <w:rFonts w:ascii="Times New Roman" w:hAnsi="Times New Roman" w:cs="Times New Roman"/>
          <w:bCs/>
          <w:sz w:val="24"/>
          <w:szCs w:val="24"/>
        </w:rPr>
        <w:t>Berle</w:t>
      </w:r>
      <w:proofErr w:type="spellEnd"/>
      <w:r>
        <w:rPr>
          <w:rFonts w:ascii="Times New Roman" w:hAnsi="Times New Roman" w:cs="Times New Roman"/>
          <w:bCs/>
          <w:sz w:val="24"/>
          <w:szCs w:val="24"/>
        </w:rPr>
        <w:t>, A. &amp; Means, G. (1933).  The Modern corporation and private property, Macmillan, New York.</w:t>
      </w:r>
    </w:p>
    <w:p w14:paraId="7D51CCD8" w14:textId="77777777" w:rsidR="007C6A53" w:rsidRDefault="007C6A53" w:rsidP="00FB3FAC">
      <w:pPr>
        <w:spacing w:after="0" w:line="240" w:lineRule="auto"/>
        <w:ind w:left="720" w:hanging="720"/>
        <w:jc w:val="both"/>
        <w:rPr>
          <w:rFonts w:ascii="Times New Roman" w:hAnsi="Times New Roman" w:cs="Times New Roman"/>
          <w:sz w:val="24"/>
          <w:szCs w:val="24"/>
        </w:rPr>
      </w:pPr>
    </w:p>
    <w:p w14:paraId="52B1513F" w14:textId="75634B6F" w:rsidR="008458F4" w:rsidRDefault="008458F4" w:rsidP="00FB3FAC">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Cifter</w:t>
      </w:r>
      <w:proofErr w:type="spellEnd"/>
      <w:r>
        <w:rPr>
          <w:rFonts w:ascii="Times New Roman" w:hAnsi="Times New Roman" w:cs="Times New Roman"/>
          <w:sz w:val="24"/>
          <w:szCs w:val="24"/>
        </w:rPr>
        <w:t xml:space="preserve">, A. (2015). Bank concentration and non-performing loans in Central and Eastern European countries. </w:t>
      </w:r>
      <w:r>
        <w:rPr>
          <w:rFonts w:ascii="Times New Roman" w:hAnsi="Times New Roman" w:cs="Times New Roman"/>
          <w:i/>
          <w:sz w:val="24"/>
          <w:szCs w:val="24"/>
        </w:rPr>
        <w:t>Journal of Business Economics and Management.</w:t>
      </w:r>
      <w:r>
        <w:rPr>
          <w:rFonts w:ascii="Times New Roman" w:hAnsi="Times New Roman" w:cs="Times New Roman"/>
          <w:sz w:val="24"/>
          <w:szCs w:val="24"/>
        </w:rPr>
        <w:t xml:space="preserve"> E-</w:t>
      </w:r>
      <w:proofErr w:type="spellStart"/>
      <w:r>
        <w:rPr>
          <w:rFonts w:ascii="Times New Roman" w:hAnsi="Times New Roman" w:cs="Times New Roman"/>
          <w:sz w:val="24"/>
          <w:szCs w:val="24"/>
        </w:rPr>
        <w:t>Issn</w:t>
      </w:r>
      <w:proofErr w:type="spellEnd"/>
      <w:r>
        <w:rPr>
          <w:rFonts w:ascii="Times New Roman" w:hAnsi="Times New Roman" w:cs="Times New Roman"/>
          <w:sz w:val="24"/>
          <w:szCs w:val="24"/>
        </w:rPr>
        <w:t xml:space="preserve"> 2029-4433, 16(1).</w:t>
      </w:r>
    </w:p>
    <w:p w14:paraId="5081C793" w14:textId="77777777" w:rsidR="007C6A53" w:rsidRDefault="007C6A53" w:rsidP="00FB3FAC">
      <w:pPr>
        <w:spacing w:after="0" w:line="240" w:lineRule="auto"/>
        <w:ind w:left="720" w:hanging="720"/>
        <w:jc w:val="both"/>
        <w:rPr>
          <w:rFonts w:ascii="Times New Roman" w:hAnsi="Times New Roman" w:cs="Times New Roman"/>
          <w:sz w:val="24"/>
          <w:szCs w:val="24"/>
        </w:rPr>
      </w:pPr>
    </w:p>
    <w:p w14:paraId="239E2D33" w14:textId="17DE9188" w:rsidR="00B1004F" w:rsidRPr="008D1AAF" w:rsidRDefault="00005C55" w:rsidP="00FB3FAC">
      <w:pPr>
        <w:spacing w:after="0"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Demaki</w:t>
      </w:r>
      <w:proofErr w:type="spellEnd"/>
      <w:r>
        <w:rPr>
          <w:rFonts w:ascii="Times New Roman" w:hAnsi="Times New Roman" w:cs="Times New Roman"/>
          <w:sz w:val="24"/>
          <w:szCs w:val="24"/>
        </w:rPr>
        <w:t>, G.O. (2011). Proliferation of codes of corporate governance in Nigeria and economic development. Business Management Review, 1 (6)</w:t>
      </w:r>
      <w:r w:rsidR="00736419">
        <w:rPr>
          <w:rFonts w:ascii="Times New Roman" w:hAnsi="Times New Roman" w:cs="Times New Roman"/>
          <w:sz w:val="24"/>
          <w:szCs w:val="24"/>
        </w:rPr>
        <w:t xml:space="preserve">, Available@ </w:t>
      </w:r>
      <w:hyperlink r:id="rId10" w:history="1">
        <w:r w:rsidR="00C404D4" w:rsidRPr="008D1AAF">
          <w:rPr>
            <w:rStyle w:val="Hyperlink"/>
            <w:rFonts w:ascii="Times New Roman" w:hAnsi="Times New Roman" w:cs="Times New Roman"/>
            <w:i/>
            <w:sz w:val="24"/>
            <w:szCs w:val="24"/>
          </w:rPr>
          <w:t>http://www: Business</w:t>
        </w:r>
      </w:hyperlink>
      <w:r w:rsidR="00736419" w:rsidRPr="008D1AAF">
        <w:rPr>
          <w:rFonts w:ascii="Times New Roman" w:hAnsi="Times New Roman" w:cs="Times New Roman"/>
          <w:i/>
          <w:sz w:val="24"/>
          <w:szCs w:val="24"/>
        </w:rPr>
        <w:t>journal.org/6mv.</w:t>
      </w:r>
    </w:p>
    <w:p w14:paraId="6CCE1676" w14:textId="77777777" w:rsidR="007C6A53" w:rsidRDefault="007C6A53" w:rsidP="00FB3FAC">
      <w:pPr>
        <w:autoSpaceDE w:val="0"/>
        <w:autoSpaceDN w:val="0"/>
        <w:adjustRightInd w:val="0"/>
        <w:spacing w:after="0" w:line="240" w:lineRule="auto"/>
        <w:ind w:left="567" w:right="8" w:hanging="567"/>
        <w:jc w:val="both"/>
        <w:rPr>
          <w:rFonts w:ascii="Times New Roman" w:hAnsi="Times New Roman" w:cs="Times New Roman"/>
          <w:sz w:val="24"/>
          <w:szCs w:val="24"/>
        </w:rPr>
      </w:pPr>
    </w:p>
    <w:p w14:paraId="73EE3774" w14:textId="1E959DA9" w:rsidR="00F95204" w:rsidRPr="008D1AAF" w:rsidRDefault="00F95204" w:rsidP="00FB3FAC">
      <w:pPr>
        <w:autoSpaceDE w:val="0"/>
        <w:autoSpaceDN w:val="0"/>
        <w:adjustRightInd w:val="0"/>
        <w:spacing w:after="0" w:line="240" w:lineRule="auto"/>
        <w:ind w:left="567" w:right="8" w:hanging="567"/>
        <w:jc w:val="both"/>
        <w:rPr>
          <w:rFonts w:ascii="Times New Roman" w:hAnsi="Times New Roman" w:cs="Times New Roman"/>
          <w:i/>
          <w:sz w:val="24"/>
          <w:szCs w:val="24"/>
        </w:rPr>
      </w:pPr>
      <w:proofErr w:type="spellStart"/>
      <w:r>
        <w:rPr>
          <w:rFonts w:ascii="Times New Roman" w:hAnsi="Times New Roman" w:cs="Times New Roman"/>
          <w:sz w:val="24"/>
          <w:szCs w:val="24"/>
        </w:rPr>
        <w:t>Czarnitzki</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Doharr</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Hussinger</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Schliessler</w:t>
      </w:r>
      <w:proofErr w:type="spellEnd"/>
      <w:r>
        <w:rPr>
          <w:rFonts w:ascii="Times New Roman" w:hAnsi="Times New Roman" w:cs="Times New Roman"/>
          <w:sz w:val="24"/>
          <w:szCs w:val="24"/>
        </w:rPr>
        <w:t>, P. &amp; Toole, A.A. (2015). Individual versus institutional ownership of university-Discovered Inventions</w:t>
      </w:r>
      <w:r w:rsidRPr="008D1AAF">
        <w:rPr>
          <w:rFonts w:ascii="Times New Roman" w:hAnsi="Times New Roman" w:cs="Times New Roman"/>
          <w:i/>
          <w:sz w:val="24"/>
          <w:szCs w:val="24"/>
        </w:rPr>
        <w:t xml:space="preserve">. </w:t>
      </w:r>
      <w:proofErr w:type="spellStart"/>
      <w:r w:rsidRPr="008D1AAF">
        <w:rPr>
          <w:rFonts w:ascii="Times New Roman" w:hAnsi="Times New Roman" w:cs="Times New Roman"/>
          <w:i/>
          <w:sz w:val="24"/>
          <w:szCs w:val="24"/>
        </w:rPr>
        <w:t>Zew</w:t>
      </w:r>
      <w:proofErr w:type="spellEnd"/>
      <w:r w:rsidRPr="008D1AAF">
        <w:rPr>
          <w:rFonts w:ascii="Times New Roman" w:hAnsi="Times New Roman" w:cs="Times New Roman"/>
          <w:i/>
          <w:sz w:val="24"/>
          <w:szCs w:val="24"/>
        </w:rPr>
        <w:t xml:space="preserve"> Centre for European economic Research -Discussion paper, (15-007).</w:t>
      </w:r>
    </w:p>
    <w:p w14:paraId="58C79B66" w14:textId="77777777" w:rsidR="007C6A53" w:rsidRDefault="007C6A53" w:rsidP="00FB3FAC">
      <w:pPr>
        <w:spacing w:after="0" w:line="240" w:lineRule="auto"/>
        <w:ind w:left="567" w:hanging="567"/>
        <w:jc w:val="both"/>
        <w:rPr>
          <w:rFonts w:ascii="Times New Roman" w:hAnsi="Times New Roman" w:cs="Times New Roman"/>
          <w:sz w:val="24"/>
          <w:szCs w:val="24"/>
        </w:rPr>
      </w:pPr>
    </w:p>
    <w:p w14:paraId="14D2575A" w14:textId="66F8259B" w:rsidR="00F95204" w:rsidRDefault="00F95204" w:rsidP="00FB3FAC">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El-Maude, J.G., Abdurrahman, A., Ibrahim, M. (2017). Determinants of non-performing loans in Nigeria’s Deposit Money Banks. </w:t>
      </w:r>
      <w:r>
        <w:rPr>
          <w:rFonts w:ascii="Times New Roman" w:hAnsi="Times New Roman" w:cs="Times New Roman"/>
          <w:i/>
          <w:sz w:val="24"/>
          <w:szCs w:val="24"/>
        </w:rPr>
        <w:t xml:space="preserve">Archives of Business </w:t>
      </w:r>
      <w:r w:rsidR="00F8580C">
        <w:rPr>
          <w:rFonts w:ascii="Times New Roman" w:hAnsi="Times New Roman" w:cs="Times New Roman"/>
          <w:i/>
          <w:sz w:val="24"/>
          <w:szCs w:val="24"/>
        </w:rPr>
        <w:t xml:space="preserve">Research, </w:t>
      </w:r>
      <w:r w:rsidR="00F8580C">
        <w:rPr>
          <w:rFonts w:ascii="Times New Roman" w:hAnsi="Times New Roman" w:cs="Times New Roman"/>
          <w:sz w:val="24"/>
          <w:szCs w:val="24"/>
        </w:rPr>
        <w:t>5</w:t>
      </w:r>
      <w:r>
        <w:rPr>
          <w:rFonts w:ascii="Times New Roman" w:hAnsi="Times New Roman" w:cs="Times New Roman"/>
          <w:sz w:val="24"/>
          <w:szCs w:val="24"/>
        </w:rPr>
        <w:t>(1) retrieved on 25/1/2017.</w:t>
      </w:r>
    </w:p>
    <w:p w14:paraId="19A493DD" w14:textId="77777777" w:rsidR="007C6A53" w:rsidRDefault="007C6A53" w:rsidP="00FB3FAC">
      <w:pPr>
        <w:spacing w:after="0" w:line="240" w:lineRule="auto"/>
        <w:ind w:left="567" w:hanging="567"/>
        <w:jc w:val="both"/>
        <w:rPr>
          <w:rFonts w:ascii="Times New Roman" w:hAnsi="Times New Roman" w:cs="Times New Roman"/>
          <w:sz w:val="24"/>
          <w:szCs w:val="24"/>
        </w:rPr>
      </w:pPr>
    </w:p>
    <w:p w14:paraId="367A69BC" w14:textId="753F54C9" w:rsidR="00DD58E5" w:rsidRPr="00000CEE" w:rsidRDefault="00DD58E5" w:rsidP="00FB3FAC">
      <w:pPr>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Fawad (2013). Ownership structure and non-performing loans: Evidence from Pakistan. </w:t>
      </w:r>
      <w:r w:rsidR="00000CEE">
        <w:rPr>
          <w:rFonts w:ascii="Times New Roman" w:hAnsi="Times New Roman" w:cs="Times New Roman"/>
          <w:sz w:val="24"/>
          <w:szCs w:val="24"/>
        </w:rPr>
        <w:t xml:space="preserve"> </w:t>
      </w:r>
      <w:r w:rsidRPr="00000CEE">
        <w:rPr>
          <w:rFonts w:ascii="Times New Roman" w:hAnsi="Times New Roman" w:cs="Times New Roman"/>
          <w:i/>
          <w:sz w:val="24"/>
          <w:szCs w:val="24"/>
        </w:rPr>
        <w:t>Asian Journal of Finance &amp; Accounting, 5(2), available at, www.macrothink.org/ajfa.</w:t>
      </w:r>
    </w:p>
    <w:p w14:paraId="1D1695D7" w14:textId="77777777" w:rsidR="007C6A53" w:rsidRDefault="007C6A53" w:rsidP="00FB3FAC">
      <w:pPr>
        <w:autoSpaceDE w:val="0"/>
        <w:autoSpaceDN w:val="0"/>
        <w:adjustRightInd w:val="0"/>
        <w:spacing w:after="0" w:line="240" w:lineRule="auto"/>
        <w:ind w:left="567" w:right="8" w:hanging="567"/>
        <w:jc w:val="both"/>
        <w:rPr>
          <w:rFonts w:ascii="Times New Roman" w:hAnsi="Times New Roman" w:cs="Times New Roman"/>
          <w:sz w:val="24"/>
          <w:szCs w:val="24"/>
        </w:rPr>
      </w:pPr>
    </w:p>
    <w:p w14:paraId="646DD50F" w14:textId="2629650E" w:rsidR="00F95204" w:rsidRDefault="00F95204" w:rsidP="00FB3FAC">
      <w:pPr>
        <w:autoSpaceDE w:val="0"/>
        <w:autoSpaceDN w:val="0"/>
        <w:adjustRightInd w:val="0"/>
        <w:spacing w:after="0" w:line="240" w:lineRule="auto"/>
        <w:ind w:left="567" w:right="8" w:hanging="567"/>
        <w:jc w:val="both"/>
        <w:rPr>
          <w:rFonts w:ascii="Times New Roman" w:hAnsi="Times New Roman" w:cs="Times New Roman"/>
          <w:sz w:val="24"/>
          <w:szCs w:val="24"/>
        </w:rPr>
      </w:pPr>
      <w:r>
        <w:rPr>
          <w:rFonts w:ascii="Times New Roman" w:hAnsi="Times New Roman" w:cs="Times New Roman"/>
          <w:sz w:val="24"/>
          <w:szCs w:val="24"/>
        </w:rPr>
        <w:t xml:space="preserve">Hsu, H.E, Venezia, C. &amp; Schrader, C. (2015). Relationships between institutional ownership, capital structure and Research &amp; Development investment.  Accounting &amp; Taxation, 7(2), 75-82. </w:t>
      </w:r>
    </w:p>
    <w:p w14:paraId="1010BBE0" w14:textId="77777777" w:rsidR="007C6A53" w:rsidRDefault="007C6A53" w:rsidP="00FB3FAC">
      <w:pPr>
        <w:autoSpaceDE w:val="0"/>
        <w:autoSpaceDN w:val="0"/>
        <w:adjustRightInd w:val="0"/>
        <w:spacing w:after="0" w:line="240" w:lineRule="auto"/>
        <w:ind w:left="567" w:right="8" w:hanging="567"/>
        <w:rPr>
          <w:rFonts w:ascii="Times New Roman" w:hAnsi="Times New Roman" w:cs="Times New Roman"/>
          <w:sz w:val="24"/>
          <w:szCs w:val="24"/>
        </w:rPr>
      </w:pPr>
    </w:p>
    <w:p w14:paraId="64939795" w14:textId="57270C53" w:rsidR="00F95204" w:rsidRPr="00000CEE" w:rsidRDefault="00F95204" w:rsidP="00FB3FAC">
      <w:pPr>
        <w:autoSpaceDE w:val="0"/>
        <w:autoSpaceDN w:val="0"/>
        <w:adjustRightInd w:val="0"/>
        <w:spacing w:after="0" w:line="240" w:lineRule="auto"/>
        <w:ind w:left="567" w:right="8" w:hanging="567"/>
        <w:rPr>
          <w:rFonts w:ascii="Times New Roman" w:hAnsi="Times New Roman" w:cs="Times New Roman"/>
          <w:i/>
          <w:sz w:val="24"/>
          <w:szCs w:val="24"/>
        </w:rPr>
      </w:pPr>
      <w:proofErr w:type="spellStart"/>
      <w:r>
        <w:rPr>
          <w:rFonts w:ascii="Times New Roman" w:hAnsi="Times New Roman" w:cs="Times New Roman"/>
          <w:sz w:val="24"/>
          <w:szCs w:val="24"/>
        </w:rPr>
        <w:t>Ikrang</w:t>
      </w:r>
      <w:proofErr w:type="spellEnd"/>
      <w:r>
        <w:rPr>
          <w:rFonts w:ascii="Times New Roman" w:hAnsi="Times New Roman" w:cs="Times New Roman"/>
          <w:sz w:val="24"/>
          <w:szCs w:val="24"/>
        </w:rPr>
        <w:t xml:space="preserve">, A.Q,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F., Ijaz, M., </w:t>
      </w:r>
      <w:proofErr w:type="spellStart"/>
      <w:r>
        <w:rPr>
          <w:rFonts w:ascii="Times New Roman" w:hAnsi="Times New Roman" w:cs="Times New Roman"/>
          <w:sz w:val="24"/>
          <w:szCs w:val="24"/>
        </w:rPr>
        <w:t>Fiaz</w:t>
      </w:r>
      <w:proofErr w:type="spellEnd"/>
      <w:r>
        <w:rPr>
          <w:rFonts w:ascii="Times New Roman" w:hAnsi="Times New Roman" w:cs="Times New Roman"/>
          <w:sz w:val="24"/>
          <w:szCs w:val="24"/>
        </w:rPr>
        <w:t xml:space="preserve">. P. (2010). Determinants of non-performing loans: An empirical investigation of Bank specific macroeconomic factors. </w:t>
      </w:r>
      <w:r w:rsidRPr="00000CEE">
        <w:rPr>
          <w:rFonts w:ascii="Times New Roman" w:hAnsi="Times New Roman" w:cs="Times New Roman"/>
          <w:i/>
          <w:sz w:val="24"/>
          <w:szCs w:val="24"/>
        </w:rPr>
        <w:t>Journal of Applied Business Research, 32(6), 17-33.</w:t>
      </w:r>
    </w:p>
    <w:p w14:paraId="0F4537E8" w14:textId="77777777" w:rsidR="007C6A53" w:rsidRDefault="007C6A53"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0D2B27FE" w14:textId="52EAA83E" w:rsidR="00F95204" w:rsidRPr="00814E9C"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i/>
          <w:sz w:val="24"/>
          <w:szCs w:val="24"/>
        </w:rPr>
      </w:pPr>
      <w:r w:rsidRPr="00730F65">
        <w:rPr>
          <w:rStyle w:val="markedcontent"/>
          <w:rFonts w:ascii="Times New Roman" w:hAnsi="Times New Roman" w:cs="Times New Roman"/>
          <w:sz w:val="24"/>
          <w:szCs w:val="24"/>
        </w:rPr>
        <w:t xml:space="preserve">Javid, A. Y., &amp; Iqbal, R. (2010). Ownership concentration, corporate governance and firm </w:t>
      </w:r>
      <w:r>
        <w:rPr>
          <w:rStyle w:val="markedcontent"/>
          <w:rFonts w:ascii="Times New Roman" w:hAnsi="Times New Roman" w:cs="Times New Roman"/>
          <w:sz w:val="24"/>
          <w:szCs w:val="24"/>
        </w:rPr>
        <w:tab/>
      </w:r>
      <w:r w:rsidRPr="00730F65">
        <w:rPr>
          <w:rStyle w:val="markedcontent"/>
          <w:rFonts w:ascii="Times New Roman" w:hAnsi="Times New Roman" w:cs="Times New Roman"/>
          <w:sz w:val="24"/>
          <w:szCs w:val="24"/>
        </w:rPr>
        <w:t xml:space="preserve">performance: evidence from Pakistan. </w:t>
      </w:r>
      <w:r w:rsidRPr="00814E9C">
        <w:rPr>
          <w:rStyle w:val="markedcontent"/>
          <w:rFonts w:ascii="Times New Roman" w:hAnsi="Times New Roman" w:cs="Times New Roman"/>
          <w:i/>
          <w:sz w:val="24"/>
          <w:szCs w:val="24"/>
        </w:rPr>
        <w:t>The Pakistan Development Review, 47(4</w:t>
      </w:r>
      <w:r w:rsidR="00000CEE" w:rsidRPr="00814E9C">
        <w:rPr>
          <w:rStyle w:val="markedcontent"/>
          <w:rFonts w:ascii="Times New Roman" w:hAnsi="Times New Roman" w:cs="Times New Roman"/>
          <w:i/>
          <w:sz w:val="24"/>
          <w:szCs w:val="24"/>
        </w:rPr>
        <w:t>), 643</w:t>
      </w:r>
      <w:r w:rsidRPr="00814E9C">
        <w:rPr>
          <w:rStyle w:val="markedcontent"/>
          <w:rFonts w:ascii="Times New Roman" w:hAnsi="Times New Roman" w:cs="Times New Roman"/>
          <w:i/>
          <w:sz w:val="24"/>
          <w:szCs w:val="24"/>
        </w:rPr>
        <w:t>-</w:t>
      </w:r>
      <w:r w:rsidRPr="00814E9C">
        <w:rPr>
          <w:rStyle w:val="markedcontent"/>
          <w:rFonts w:ascii="Times New Roman" w:hAnsi="Times New Roman" w:cs="Times New Roman"/>
          <w:i/>
          <w:sz w:val="24"/>
          <w:szCs w:val="24"/>
        </w:rPr>
        <w:tab/>
        <w:t>659.</w:t>
      </w:r>
    </w:p>
    <w:p w14:paraId="333A5F26" w14:textId="77777777" w:rsidR="007C6A53" w:rsidRDefault="007C6A53"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7ECEA0AC" w14:textId="7D68A978" w:rsidR="00A971FF" w:rsidRPr="00814E9C" w:rsidRDefault="00A971FF" w:rsidP="00FB3FAC">
      <w:pPr>
        <w:autoSpaceDE w:val="0"/>
        <w:autoSpaceDN w:val="0"/>
        <w:adjustRightInd w:val="0"/>
        <w:spacing w:after="0" w:line="240" w:lineRule="auto"/>
        <w:ind w:left="567" w:right="8" w:hanging="567"/>
        <w:jc w:val="both"/>
        <w:rPr>
          <w:rStyle w:val="markedcontent"/>
          <w:rFonts w:ascii="Times New Roman" w:hAnsi="Times New Roman" w:cs="Times New Roman"/>
          <w:i/>
          <w:sz w:val="24"/>
          <w:szCs w:val="24"/>
        </w:rPr>
      </w:pPr>
      <w:r>
        <w:rPr>
          <w:rStyle w:val="markedcontent"/>
          <w:rFonts w:ascii="Times New Roman" w:hAnsi="Times New Roman" w:cs="Times New Roman"/>
          <w:sz w:val="24"/>
          <w:szCs w:val="24"/>
        </w:rPr>
        <w:lastRenderedPageBreak/>
        <w:t xml:space="preserve">Jensen, M &amp; </w:t>
      </w:r>
      <w:proofErr w:type="spellStart"/>
      <w:r>
        <w:rPr>
          <w:rStyle w:val="markedcontent"/>
          <w:rFonts w:ascii="Times New Roman" w:hAnsi="Times New Roman" w:cs="Times New Roman"/>
          <w:sz w:val="24"/>
          <w:szCs w:val="24"/>
        </w:rPr>
        <w:t>Meckling</w:t>
      </w:r>
      <w:proofErr w:type="spellEnd"/>
      <w:r>
        <w:rPr>
          <w:rStyle w:val="markedcontent"/>
          <w:rFonts w:ascii="Times New Roman" w:hAnsi="Times New Roman" w:cs="Times New Roman"/>
          <w:sz w:val="24"/>
          <w:szCs w:val="24"/>
        </w:rPr>
        <w:t xml:space="preserve">, </w:t>
      </w:r>
      <w:r w:rsidR="00F46850">
        <w:rPr>
          <w:rStyle w:val="markedcontent"/>
          <w:rFonts w:ascii="Times New Roman" w:hAnsi="Times New Roman" w:cs="Times New Roman"/>
          <w:sz w:val="24"/>
          <w:szCs w:val="24"/>
        </w:rPr>
        <w:t xml:space="preserve">W. (1976). Theory of the firm: Managerial behavior, agency costs &amp; ownership. </w:t>
      </w:r>
      <w:r w:rsidR="00F46850" w:rsidRPr="00814E9C">
        <w:rPr>
          <w:rStyle w:val="markedcontent"/>
          <w:rFonts w:ascii="Times New Roman" w:hAnsi="Times New Roman" w:cs="Times New Roman"/>
          <w:i/>
          <w:sz w:val="24"/>
          <w:szCs w:val="24"/>
        </w:rPr>
        <w:t>Academy of management Review, Vol. 4.No. 1.57-74.</w:t>
      </w:r>
    </w:p>
    <w:p w14:paraId="00389D02" w14:textId="77777777" w:rsidR="007C6A53" w:rsidRDefault="007C6A53"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4BA9EE39" w14:textId="15E152F7" w:rsidR="00F95204" w:rsidRPr="00814E9C"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i/>
          <w:sz w:val="24"/>
          <w:szCs w:val="24"/>
        </w:rPr>
      </w:pPr>
      <w:r>
        <w:rPr>
          <w:rStyle w:val="markedcontent"/>
          <w:rFonts w:ascii="Times New Roman" w:hAnsi="Times New Roman" w:cs="Times New Roman"/>
          <w:sz w:val="24"/>
          <w:szCs w:val="24"/>
        </w:rPr>
        <w:t xml:space="preserve">Jiang, R. (2015). An empirical examination of the relationship between ownership structure and the performance firms in China. </w:t>
      </w:r>
      <w:r w:rsidRPr="00814E9C">
        <w:rPr>
          <w:rStyle w:val="markedcontent"/>
          <w:rFonts w:ascii="Times New Roman" w:hAnsi="Times New Roman" w:cs="Times New Roman"/>
          <w:i/>
          <w:sz w:val="24"/>
          <w:szCs w:val="24"/>
        </w:rPr>
        <w:t>International Journal of finance &amp; Economics 3(5), 41-50.</w:t>
      </w:r>
    </w:p>
    <w:p w14:paraId="3484C774" w14:textId="77777777" w:rsidR="007C6A53" w:rsidRDefault="007C6A53" w:rsidP="00FB3FAC">
      <w:pPr>
        <w:spacing w:after="0" w:line="240" w:lineRule="auto"/>
        <w:ind w:left="720" w:hanging="720"/>
        <w:jc w:val="both"/>
        <w:rPr>
          <w:rFonts w:ascii="Times New Roman" w:hAnsi="Times New Roman" w:cs="Times New Roman"/>
          <w:sz w:val="24"/>
          <w:szCs w:val="24"/>
        </w:rPr>
      </w:pPr>
    </w:p>
    <w:p w14:paraId="29539F81" w14:textId="7EC05B8A" w:rsidR="006B3C7C" w:rsidRPr="00814E9C" w:rsidRDefault="006B3C7C" w:rsidP="00FB3FAC">
      <w:pPr>
        <w:spacing w:after="0" w:line="240" w:lineRule="auto"/>
        <w:ind w:left="720" w:hanging="720"/>
        <w:jc w:val="both"/>
        <w:rPr>
          <w:rFonts w:ascii="Times New Roman" w:hAnsi="Times New Roman" w:cs="Times New Roman"/>
          <w:i/>
          <w:sz w:val="24"/>
          <w:szCs w:val="24"/>
        </w:rPr>
      </w:pPr>
      <w:proofErr w:type="spellStart"/>
      <w:r>
        <w:rPr>
          <w:rFonts w:ascii="Times New Roman" w:hAnsi="Times New Roman" w:cs="Times New Roman"/>
          <w:sz w:val="24"/>
          <w:szCs w:val="24"/>
        </w:rPr>
        <w:t>Kingu</w:t>
      </w:r>
      <w:proofErr w:type="spellEnd"/>
      <w:r>
        <w:rPr>
          <w:rFonts w:ascii="Times New Roman" w:hAnsi="Times New Roman" w:cs="Times New Roman"/>
          <w:sz w:val="24"/>
          <w:szCs w:val="24"/>
        </w:rPr>
        <w:t xml:space="preserve">, P., Macha, P. &amp; </w:t>
      </w:r>
      <w:proofErr w:type="spellStart"/>
      <w:r>
        <w:rPr>
          <w:rFonts w:ascii="Times New Roman" w:hAnsi="Times New Roman" w:cs="Times New Roman"/>
          <w:sz w:val="24"/>
          <w:szCs w:val="24"/>
        </w:rPr>
        <w:t>Gwahula</w:t>
      </w:r>
      <w:proofErr w:type="spellEnd"/>
      <w:r>
        <w:rPr>
          <w:rFonts w:ascii="Times New Roman" w:hAnsi="Times New Roman" w:cs="Times New Roman"/>
          <w:sz w:val="24"/>
          <w:szCs w:val="24"/>
        </w:rPr>
        <w:t xml:space="preserve">, R. (2018), Impact of nonperforming loans on Bank’s profitability: Empirical evidence from commercial banks in Tanzania, </w:t>
      </w:r>
      <w:r w:rsidRPr="00814E9C">
        <w:rPr>
          <w:rFonts w:ascii="Times New Roman" w:hAnsi="Times New Roman" w:cs="Times New Roman"/>
          <w:i/>
          <w:sz w:val="24"/>
          <w:szCs w:val="24"/>
        </w:rPr>
        <w:t>International Journal of Scientific Research &amp; Management. 6(01) DOI: 18535/</w:t>
      </w:r>
      <w:proofErr w:type="spellStart"/>
      <w:r w:rsidRPr="00814E9C">
        <w:rPr>
          <w:rFonts w:ascii="Times New Roman" w:hAnsi="Times New Roman" w:cs="Times New Roman"/>
          <w:i/>
          <w:sz w:val="24"/>
          <w:szCs w:val="24"/>
        </w:rPr>
        <w:t>ijstm</w:t>
      </w:r>
      <w:proofErr w:type="spellEnd"/>
      <w:r w:rsidRPr="00814E9C">
        <w:rPr>
          <w:rFonts w:ascii="Times New Roman" w:hAnsi="Times New Roman" w:cs="Times New Roman"/>
          <w:i/>
          <w:sz w:val="24"/>
          <w:szCs w:val="24"/>
        </w:rPr>
        <w:t>/611.emii.</w:t>
      </w:r>
    </w:p>
    <w:p w14:paraId="041CC38C" w14:textId="77777777" w:rsidR="007C6A53" w:rsidRDefault="007C6A53"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5124EE54" w14:textId="67AA1CB9" w:rsidR="00F95204"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roofErr w:type="spellStart"/>
      <w:r>
        <w:rPr>
          <w:rStyle w:val="markedcontent"/>
          <w:rFonts w:ascii="Times New Roman" w:hAnsi="Times New Roman" w:cs="Times New Roman"/>
          <w:sz w:val="24"/>
          <w:szCs w:val="24"/>
        </w:rPr>
        <w:t>Kiruri</w:t>
      </w:r>
      <w:proofErr w:type="spellEnd"/>
      <w:r>
        <w:rPr>
          <w:rStyle w:val="markedcontent"/>
          <w:rFonts w:ascii="Times New Roman" w:hAnsi="Times New Roman" w:cs="Times New Roman"/>
          <w:sz w:val="24"/>
          <w:szCs w:val="24"/>
        </w:rPr>
        <w:t>, R.M. (2013). The effects of ownership structure on bank profitability in Kenya. European Journal of Management Sciences and Economics, 1(2), 116-127.</w:t>
      </w:r>
    </w:p>
    <w:p w14:paraId="708165EF" w14:textId="77777777" w:rsidR="007C6A53" w:rsidRDefault="007C6A53"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10D7DC64" w14:textId="598222E4" w:rsidR="00F95204" w:rsidRPr="00814E9C"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i/>
          <w:sz w:val="24"/>
          <w:szCs w:val="24"/>
        </w:rPr>
      </w:pPr>
      <w:proofErr w:type="spellStart"/>
      <w:r w:rsidRPr="006457D6">
        <w:rPr>
          <w:rStyle w:val="markedcontent"/>
          <w:rFonts w:ascii="Times New Roman" w:hAnsi="Times New Roman" w:cs="Times New Roman"/>
          <w:sz w:val="24"/>
          <w:szCs w:val="24"/>
        </w:rPr>
        <w:t>Laeven</w:t>
      </w:r>
      <w:proofErr w:type="spellEnd"/>
      <w:r w:rsidRPr="006457D6">
        <w:rPr>
          <w:rStyle w:val="markedcontent"/>
          <w:rFonts w:ascii="Times New Roman" w:hAnsi="Times New Roman" w:cs="Times New Roman"/>
          <w:sz w:val="24"/>
          <w:szCs w:val="24"/>
        </w:rPr>
        <w:t xml:space="preserve">, L., </w:t>
      </w:r>
      <w:proofErr w:type="spellStart"/>
      <w:r w:rsidRPr="006457D6">
        <w:rPr>
          <w:rStyle w:val="markedcontent"/>
          <w:rFonts w:ascii="Times New Roman" w:hAnsi="Times New Roman" w:cs="Times New Roman"/>
          <w:sz w:val="24"/>
          <w:szCs w:val="24"/>
        </w:rPr>
        <w:t>Ratnovski</w:t>
      </w:r>
      <w:proofErr w:type="spellEnd"/>
      <w:r w:rsidRPr="006457D6">
        <w:rPr>
          <w:rStyle w:val="markedcontent"/>
          <w:rFonts w:ascii="Times New Roman" w:hAnsi="Times New Roman" w:cs="Times New Roman"/>
          <w:sz w:val="24"/>
          <w:szCs w:val="24"/>
        </w:rPr>
        <w:t xml:space="preserve"> L., &amp; Tong H. (2014). Bank size and systemic risk: some international </w:t>
      </w:r>
      <w:r>
        <w:rPr>
          <w:rStyle w:val="markedcontent"/>
          <w:rFonts w:ascii="Times New Roman" w:hAnsi="Times New Roman" w:cs="Times New Roman"/>
          <w:sz w:val="24"/>
          <w:szCs w:val="24"/>
        </w:rPr>
        <w:tab/>
      </w:r>
      <w:r w:rsidRPr="006457D6">
        <w:rPr>
          <w:rStyle w:val="markedcontent"/>
          <w:rFonts w:ascii="Times New Roman" w:hAnsi="Times New Roman" w:cs="Times New Roman"/>
          <w:sz w:val="24"/>
          <w:szCs w:val="24"/>
        </w:rPr>
        <w:t>evidence</w:t>
      </w:r>
      <w:r w:rsidRPr="00814E9C">
        <w:rPr>
          <w:rStyle w:val="markedcontent"/>
          <w:rFonts w:ascii="Times New Roman" w:hAnsi="Times New Roman" w:cs="Times New Roman"/>
          <w:i/>
          <w:sz w:val="24"/>
          <w:szCs w:val="24"/>
        </w:rPr>
        <w:t>. International Monetary Fund. Mimeo</w:t>
      </w:r>
    </w:p>
    <w:p w14:paraId="108EBEA1" w14:textId="77777777" w:rsidR="002249C7" w:rsidRDefault="002249C7" w:rsidP="00FB3FAC">
      <w:pPr>
        <w:autoSpaceDE w:val="0"/>
        <w:autoSpaceDN w:val="0"/>
        <w:adjustRightInd w:val="0"/>
        <w:spacing w:after="0" w:line="240" w:lineRule="auto"/>
        <w:ind w:left="567" w:right="8" w:hanging="567"/>
        <w:jc w:val="both"/>
        <w:rPr>
          <w:rFonts w:ascii="Times New Roman" w:hAnsi="Times New Roman" w:cs="Times New Roman"/>
          <w:sz w:val="24"/>
          <w:szCs w:val="24"/>
        </w:rPr>
      </w:pPr>
    </w:p>
    <w:p w14:paraId="442EB3EE" w14:textId="62812C56" w:rsidR="00F95204" w:rsidRPr="00814E9C" w:rsidRDefault="00F95204" w:rsidP="00FB3FAC">
      <w:pPr>
        <w:autoSpaceDE w:val="0"/>
        <w:autoSpaceDN w:val="0"/>
        <w:adjustRightInd w:val="0"/>
        <w:spacing w:after="0" w:line="240" w:lineRule="auto"/>
        <w:ind w:left="567" w:right="8" w:hanging="567"/>
        <w:jc w:val="both"/>
        <w:rPr>
          <w:rFonts w:ascii="Times New Roman" w:hAnsi="Times New Roman" w:cs="Times New Roman"/>
          <w:i/>
          <w:sz w:val="24"/>
          <w:szCs w:val="24"/>
        </w:rPr>
      </w:pPr>
      <w:r w:rsidRPr="006463C5">
        <w:rPr>
          <w:rFonts w:ascii="Times New Roman" w:hAnsi="Times New Roman" w:cs="Times New Roman"/>
          <w:sz w:val="24"/>
          <w:szCs w:val="24"/>
        </w:rPr>
        <w:t>Maina</w:t>
      </w:r>
      <w:r w:rsidRPr="00931CDD">
        <w:rPr>
          <w:rFonts w:ascii="Times New Roman" w:hAnsi="Times New Roman" w:cs="Times New Roman"/>
          <w:sz w:val="24"/>
          <w:szCs w:val="24"/>
        </w:rPr>
        <w:t>, P. M. (2</w:t>
      </w:r>
      <w:r>
        <w:rPr>
          <w:rFonts w:ascii="Times New Roman" w:hAnsi="Times New Roman" w:cs="Times New Roman"/>
          <w:sz w:val="24"/>
          <w:szCs w:val="24"/>
        </w:rPr>
        <w:t>014</w:t>
      </w:r>
      <w:r w:rsidRPr="00931CDD">
        <w:rPr>
          <w:rFonts w:ascii="Times New Roman" w:hAnsi="Times New Roman" w:cs="Times New Roman"/>
          <w:sz w:val="24"/>
          <w:szCs w:val="24"/>
        </w:rPr>
        <w:t xml:space="preserve">). Ownership concentration, corporate governance and disclosure practices: </w:t>
      </w:r>
      <w:r>
        <w:rPr>
          <w:rFonts w:ascii="Times New Roman" w:hAnsi="Times New Roman" w:cs="Times New Roman"/>
          <w:sz w:val="24"/>
          <w:szCs w:val="24"/>
        </w:rPr>
        <w:tab/>
      </w:r>
      <w:r w:rsidRPr="00931CDD">
        <w:rPr>
          <w:rFonts w:ascii="Times New Roman" w:hAnsi="Times New Roman" w:cs="Times New Roman"/>
          <w:sz w:val="24"/>
          <w:szCs w:val="24"/>
        </w:rPr>
        <w:t xml:space="preserve">A study of firms listed in Bombay stock exchange. </w:t>
      </w:r>
      <w:r w:rsidRPr="00814E9C">
        <w:rPr>
          <w:rFonts w:ascii="Times New Roman" w:hAnsi="Times New Roman" w:cs="Times New Roman"/>
          <w:i/>
          <w:sz w:val="24"/>
          <w:szCs w:val="24"/>
        </w:rPr>
        <w:t xml:space="preserve">The IUP Journal of Corporate </w:t>
      </w:r>
      <w:r w:rsidRPr="00814E9C">
        <w:rPr>
          <w:rFonts w:ascii="Times New Roman" w:hAnsi="Times New Roman" w:cs="Times New Roman"/>
          <w:i/>
          <w:sz w:val="24"/>
          <w:szCs w:val="24"/>
        </w:rPr>
        <w:tab/>
        <w:t>Governance, 15(4), 7-36</w:t>
      </w:r>
    </w:p>
    <w:p w14:paraId="63C11CF2" w14:textId="77777777" w:rsidR="002249C7" w:rsidRDefault="002249C7" w:rsidP="00FB3FAC">
      <w:pPr>
        <w:autoSpaceDE w:val="0"/>
        <w:autoSpaceDN w:val="0"/>
        <w:adjustRightInd w:val="0"/>
        <w:spacing w:after="0" w:line="240" w:lineRule="auto"/>
        <w:ind w:left="567" w:right="8" w:hanging="567"/>
        <w:jc w:val="both"/>
        <w:rPr>
          <w:rFonts w:ascii="Times New Roman" w:hAnsi="Times New Roman" w:cs="Times New Roman"/>
          <w:sz w:val="24"/>
          <w:szCs w:val="24"/>
        </w:rPr>
      </w:pPr>
    </w:p>
    <w:p w14:paraId="54A68C99" w14:textId="7BBB83ED" w:rsidR="00754BBB" w:rsidRPr="00814E9C" w:rsidRDefault="004F6DEB" w:rsidP="00FB3FAC">
      <w:pPr>
        <w:autoSpaceDE w:val="0"/>
        <w:autoSpaceDN w:val="0"/>
        <w:adjustRightInd w:val="0"/>
        <w:spacing w:after="0" w:line="240" w:lineRule="auto"/>
        <w:ind w:left="567" w:right="8" w:hanging="567"/>
        <w:jc w:val="both"/>
        <w:rPr>
          <w:rFonts w:ascii="Times New Roman" w:hAnsi="Times New Roman" w:cs="Times New Roman"/>
          <w:i/>
          <w:sz w:val="24"/>
          <w:szCs w:val="24"/>
        </w:rPr>
      </w:pPr>
      <w:proofErr w:type="spellStart"/>
      <w:r>
        <w:rPr>
          <w:rFonts w:ascii="Times New Roman" w:hAnsi="Times New Roman" w:cs="Times New Roman"/>
          <w:sz w:val="24"/>
          <w:szCs w:val="24"/>
        </w:rPr>
        <w:t>Migliardo</w:t>
      </w:r>
      <w:proofErr w:type="spellEnd"/>
      <w:r>
        <w:rPr>
          <w:rFonts w:ascii="Times New Roman" w:hAnsi="Times New Roman" w:cs="Times New Roman"/>
          <w:sz w:val="24"/>
          <w:szCs w:val="24"/>
        </w:rPr>
        <w:t xml:space="preserve">, C. &amp; </w:t>
      </w:r>
      <w:proofErr w:type="spellStart"/>
      <w:r>
        <w:rPr>
          <w:rFonts w:ascii="Times New Roman" w:hAnsi="Times New Roman" w:cs="Times New Roman"/>
          <w:sz w:val="24"/>
          <w:szCs w:val="24"/>
        </w:rPr>
        <w:t>Forgione</w:t>
      </w:r>
      <w:proofErr w:type="spellEnd"/>
      <w:r>
        <w:rPr>
          <w:rFonts w:ascii="Times New Roman" w:hAnsi="Times New Roman" w:cs="Times New Roman"/>
          <w:sz w:val="24"/>
          <w:szCs w:val="24"/>
        </w:rPr>
        <w:t xml:space="preserve">, A.F. (2018). Ownership concentration on bank’s profitability, risk and technical efficiency. </w:t>
      </w:r>
      <w:r w:rsidRPr="00814E9C">
        <w:rPr>
          <w:rFonts w:ascii="Times New Roman" w:hAnsi="Times New Roman" w:cs="Times New Roman"/>
          <w:i/>
          <w:sz w:val="24"/>
          <w:szCs w:val="24"/>
        </w:rPr>
        <w:t>International Journal of Business in Society. Htts://doi.org 10.1108-CG-06-2017-0112.</w:t>
      </w:r>
    </w:p>
    <w:p w14:paraId="5873D625" w14:textId="77777777" w:rsidR="002249C7" w:rsidRDefault="002249C7" w:rsidP="00FB3FAC">
      <w:pPr>
        <w:autoSpaceDE w:val="0"/>
        <w:autoSpaceDN w:val="0"/>
        <w:adjustRightInd w:val="0"/>
        <w:spacing w:after="0" w:line="240" w:lineRule="auto"/>
        <w:ind w:left="567" w:right="8" w:hanging="567"/>
        <w:jc w:val="both"/>
        <w:rPr>
          <w:rFonts w:ascii="Times New Roman" w:hAnsi="Times New Roman" w:cs="Times New Roman"/>
          <w:sz w:val="24"/>
          <w:szCs w:val="24"/>
        </w:rPr>
      </w:pPr>
    </w:p>
    <w:p w14:paraId="4EB995DD" w14:textId="1C573408" w:rsidR="00F95204" w:rsidRPr="00814E9C" w:rsidRDefault="00F95204" w:rsidP="00FB3FAC">
      <w:pPr>
        <w:autoSpaceDE w:val="0"/>
        <w:autoSpaceDN w:val="0"/>
        <w:adjustRightInd w:val="0"/>
        <w:spacing w:after="0" w:line="240" w:lineRule="auto"/>
        <w:ind w:left="567" w:right="8" w:hanging="567"/>
        <w:jc w:val="both"/>
        <w:rPr>
          <w:rFonts w:ascii="Times New Roman" w:hAnsi="Times New Roman" w:cs="Times New Roman"/>
          <w:i/>
          <w:sz w:val="24"/>
          <w:szCs w:val="24"/>
        </w:rPr>
      </w:pPr>
      <w:proofErr w:type="spellStart"/>
      <w:r w:rsidRPr="00BF13CB">
        <w:rPr>
          <w:rFonts w:ascii="Times New Roman" w:hAnsi="Times New Roman" w:cs="Times New Roman"/>
          <w:sz w:val="24"/>
          <w:szCs w:val="24"/>
        </w:rPr>
        <w:t>Mutisya</w:t>
      </w:r>
      <w:proofErr w:type="spellEnd"/>
      <w:r w:rsidRPr="00BF13CB">
        <w:rPr>
          <w:rFonts w:ascii="Times New Roman" w:hAnsi="Times New Roman" w:cs="Times New Roman"/>
          <w:sz w:val="24"/>
          <w:szCs w:val="24"/>
        </w:rPr>
        <w:t xml:space="preserve">, B. (2015). The relationship between ownership structure and financial performance </w:t>
      </w:r>
      <w:r>
        <w:rPr>
          <w:rFonts w:ascii="Times New Roman" w:hAnsi="Times New Roman" w:cs="Times New Roman"/>
          <w:sz w:val="24"/>
          <w:szCs w:val="24"/>
        </w:rPr>
        <w:tab/>
      </w:r>
      <w:r w:rsidRPr="00BF13CB">
        <w:rPr>
          <w:rFonts w:ascii="Times New Roman" w:hAnsi="Times New Roman" w:cs="Times New Roman"/>
          <w:sz w:val="24"/>
          <w:szCs w:val="24"/>
        </w:rPr>
        <w:t xml:space="preserve">of companies listed at the Nairobi securities exchange. </w:t>
      </w:r>
      <w:r w:rsidRPr="00814E9C">
        <w:rPr>
          <w:rFonts w:ascii="Times New Roman" w:hAnsi="Times New Roman" w:cs="Times New Roman"/>
          <w:i/>
          <w:sz w:val="24"/>
          <w:szCs w:val="24"/>
        </w:rPr>
        <w:t xml:space="preserve">Unpublished MBA thesis, </w:t>
      </w:r>
      <w:r w:rsidRPr="00814E9C">
        <w:rPr>
          <w:rFonts w:ascii="Times New Roman" w:hAnsi="Times New Roman" w:cs="Times New Roman"/>
          <w:i/>
          <w:sz w:val="24"/>
          <w:szCs w:val="24"/>
        </w:rPr>
        <w:tab/>
        <w:t>Nairobi: University of Nairobi.</w:t>
      </w:r>
    </w:p>
    <w:p w14:paraId="7BA831E6" w14:textId="77777777" w:rsidR="003E2ECD" w:rsidRDefault="003E2ECD" w:rsidP="00FB3FAC">
      <w:pPr>
        <w:autoSpaceDE w:val="0"/>
        <w:autoSpaceDN w:val="0"/>
        <w:adjustRightInd w:val="0"/>
        <w:spacing w:after="0" w:line="240" w:lineRule="auto"/>
        <w:ind w:left="567" w:right="8" w:hanging="567"/>
        <w:jc w:val="both"/>
        <w:rPr>
          <w:rFonts w:ascii="Times New Roman" w:hAnsi="Times New Roman" w:cs="Times New Roman"/>
          <w:sz w:val="24"/>
          <w:szCs w:val="24"/>
        </w:rPr>
      </w:pPr>
    </w:p>
    <w:p w14:paraId="40B72869" w14:textId="084935F8" w:rsidR="00F95204" w:rsidRPr="00814E9C" w:rsidRDefault="00F95204" w:rsidP="00FB3FAC">
      <w:pPr>
        <w:autoSpaceDE w:val="0"/>
        <w:autoSpaceDN w:val="0"/>
        <w:adjustRightInd w:val="0"/>
        <w:spacing w:after="0" w:line="240" w:lineRule="auto"/>
        <w:ind w:left="567" w:right="8" w:hanging="567"/>
        <w:jc w:val="both"/>
        <w:rPr>
          <w:rFonts w:ascii="Times New Roman" w:hAnsi="Times New Roman" w:cs="Times New Roman"/>
          <w:i/>
          <w:sz w:val="24"/>
          <w:szCs w:val="24"/>
        </w:rPr>
      </w:pPr>
      <w:proofErr w:type="spellStart"/>
      <w:r w:rsidRPr="00F743AE">
        <w:rPr>
          <w:rFonts w:ascii="Times New Roman" w:hAnsi="Times New Roman" w:cs="Times New Roman"/>
          <w:sz w:val="24"/>
          <w:szCs w:val="24"/>
        </w:rPr>
        <w:t>Nahila</w:t>
      </w:r>
      <w:proofErr w:type="spellEnd"/>
      <w:r w:rsidRPr="00F743AE">
        <w:rPr>
          <w:rFonts w:ascii="Times New Roman" w:hAnsi="Times New Roman" w:cs="Times New Roman"/>
          <w:sz w:val="24"/>
          <w:szCs w:val="24"/>
        </w:rPr>
        <w:t xml:space="preserve">, N., &amp; Amarjeet, K. (2016). The effect of ownership structure on firm profitability in </w:t>
      </w:r>
      <w:r>
        <w:rPr>
          <w:rFonts w:ascii="Times New Roman" w:hAnsi="Times New Roman" w:cs="Times New Roman"/>
          <w:sz w:val="24"/>
          <w:szCs w:val="24"/>
        </w:rPr>
        <w:tab/>
      </w:r>
      <w:r w:rsidRPr="00F743AE">
        <w:rPr>
          <w:rFonts w:ascii="Times New Roman" w:hAnsi="Times New Roman" w:cs="Times New Roman"/>
          <w:sz w:val="24"/>
          <w:szCs w:val="24"/>
        </w:rPr>
        <w:t>India</w:t>
      </w:r>
      <w:r w:rsidRPr="00814E9C">
        <w:rPr>
          <w:rFonts w:ascii="Times New Roman" w:hAnsi="Times New Roman" w:cs="Times New Roman"/>
          <w:i/>
          <w:sz w:val="24"/>
          <w:szCs w:val="24"/>
        </w:rPr>
        <w:t>. International Journal of Economics and Finance, 8(6).</w:t>
      </w:r>
    </w:p>
    <w:p w14:paraId="1CAACA88" w14:textId="77777777" w:rsidR="003E2ECD" w:rsidRDefault="003E2ECD"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4D9617EA" w14:textId="20E21776" w:rsidR="00F95204" w:rsidRPr="00814E9C"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i/>
          <w:sz w:val="24"/>
          <w:szCs w:val="24"/>
        </w:rPr>
      </w:pPr>
      <w:proofErr w:type="spellStart"/>
      <w:r w:rsidRPr="00445CF0">
        <w:rPr>
          <w:rStyle w:val="markedcontent"/>
          <w:rFonts w:ascii="Times New Roman" w:hAnsi="Times New Roman" w:cs="Times New Roman"/>
          <w:sz w:val="24"/>
          <w:szCs w:val="24"/>
        </w:rPr>
        <w:t>Olowokure</w:t>
      </w:r>
      <w:proofErr w:type="spellEnd"/>
      <w:r w:rsidRPr="00445CF0">
        <w:rPr>
          <w:rStyle w:val="markedcontent"/>
          <w:rFonts w:ascii="Times New Roman" w:hAnsi="Times New Roman" w:cs="Times New Roman"/>
          <w:sz w:val="24"/>
          <w:szCs w:val="24"/>
        </w:rPr>
        <w:t xml:space="preserve">, O., </w:t>
      </w:r>
      <w:proofErr w:type="spellStart"/>
      <w:r w:rsidRPr="00445CF0">
        <w:rPr>
          <w:rStyle w:val="markedcontent"/>
          <w:rFonts w:ascii="Times New Roman" w:hAnsi="Times New Roman" w:cs="Times New Roman"/>
          <w:sz w:val="24"/>
          <w:szCs w:val="24"/>
        </w:rPr>
        <w:t>Tanko</w:t>
      </w:r>
      <w:proofErr w:type="spellEnd"/>
      <w:r w:rsidRPr="00445CF0">
        <w:rPr>
          <w:rStyle w:val="markedcontent"/>
          <w:rFonts w:ascii="Times New Roman" w:hAnsi="Times New Roman" w:cs="Times New Roman"/>
          <w:sz w:val="24"/>
          <w:szCs w:val="24"/>
        </w:rPr>
        <w:t xml:space="preserve">, M. &amp; </w:t>
      </w:r>
      <w:proofErr w:type="spellStart"/>
      <w:r w:rsidRPr="00445CF0">
        <w:rPr>
          <w:rStyle w:val="markedcontent"/>
          <w:rFonts w:ascii="Times New Roman" w:hAnsi="Times New Roman" w:cs="Times New Roman"/>
          <w:sz w:val="24"/>
          <w:szCs w:val="24"/>
        </w:rPr>
        <w:t>Nyor</w:t>
      </w:r>
      <w:proofErr w:type="spellEnd"/>
      <w:r w:rsidRPr="00445CF0">
        <w:rPr>
          <w:rStyle w:val="markedcontent"/>
          <w:rFonts w:ascii="Times New Roman" w:hAnsi="Times New Roman" w:cs="Times New Roman"/>
          <w:sz w:val="24"/>
          <w:szCs w:val="24"/>
        </w:rPr>
        <w:t xml:space="preserve">, T. (2015). Firm structural characteristics and financial </w:t>
      </w:r>
      <w:r>
        <w:rPr>
          <w:rStyle w:val="markedcontent"/>
          <w:rFonts w:ascii="Times New Roman" w:hAnsi="Times New Roman" w:cs="Times New Roman"/>
          <w:sz w:val="24"/>
          <w:szCs w:val="24"/>
        </w:rPr>
        <w:tab/>
      </w:r>
      <w:r w:rsidRPr="00445CF0">
        <w:rPr>
          <w:rStyle w:val="markedcontent"/>
          <w:rFonts w:ascii="Times New Roman" w:hAnsi="Times New Roman" w:cs="Times New Roman"/>
          <w:sz w:val="24"/>
          <w:szCs w:val="24"/>
        </w:rPr>
        <w:t xml:space="preserve">reporting quality. </w:t>
      </w:r>
      <w:r w:rsidRPr="00814E9C">
        <w:rPr>
          <w:rStyle w:val="markedcontent"/>
          <w:rFonts w:ascii="Times New Roman" w:hAnsi="Times New Roman" w:cs="Times New Roman"/>
          <w:i/>
          <w:sz w:val="24"/>
          <w:szCs w:val="24"/>
        </w:rPr>
        <w:t>International Business Research, 9(1), 106-122.</w:t>
      </w:r>
    </w:p>
    <w:p w14:paraId="19F61778" w14:textId="77777777" w:rsidR="003E2ECD" w:rsidRDefault="003E2ECD"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122048B2" w14:textId="722BEB7D" w:rsidR="00F95204" w:rsidRPr="009812A3"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i/>
          <w:sz w:val="24"/>
          <w:szCs w:val="24"/>
        </w:rPr>
      </w:pPr>
      <w:proofErr w:type="spellStart"/>
      <w:r w:rsidRPr="0011700F">
        <w:rPr>
          <w:rStyle w:val="markedcontent"/>
          <w:rFonts w:ascii="Times New Roman" w:hAnsi="Times New Roman" w:cs="Times New Roman"/>
          <w:sz w:val="24"/>
          <w:szCs w:val="24"/>
        </w:rPr>
        <w:t>Onuonga</w:t>
      </w:r>
      <w:proofErr w:type="spellEnd"/>
      <w:r w:rsidRPr="0011700F">
        <w:rPr>
          <w:rStyle w:val="markedcontent"/>
          <w:rFonts w:ascii="Times New Roman" w:hAnsi="Times New Roman" w:cs="Times New Roman"/>
          <w:sz w:val="24"/>
          <w:szCs w:val="24"/>
        </w:rPr>
        <w:t xml:space="preserve">, S. M. (2014). The analysis of profitability of </w:t>
      </w:r>
      <w:r w:rsidR="00963649" w:rsidRPr="0011700F">
        <w:rPr>
          <w:rStyle w:val="markedcontent"/>
          <w:rFonts w:ascii="Times New Roman" w:hAnsi="Times New Roman" w:cs="Times New Roman"/>
          <w:sz w:val="24"/>
          <w:szCs w:val="24"/>
        </w:rPr>
        <w:t>Kenya’s</w:t>
      </w:r>
      <w:r w:rsidRPr="0011700F">
        <w:rPr>
          <w:rStyle w:val="markedcontent"/>
          <w:rFonts w:ascii="Times New Roman" w:hAnsi="Times New Roman" w:cs="Times New Roman"/>
          <w:sz w:val="24"/>
          <w:szCs w:val="24"/>
        </w:rPr>
        <w:t xml:space="preserve"> top six commercial banks: </w:t>
      </w:r>
      <w:r>
        <w:rPr>
          <w:rStyle w:val="markedcontent"/>
          <w:rFonts w:ascii="Times New Roman" w:hAnsi="Times New Roman" w:cs="Times New Roman"/>
          <w:sz w:val="24"/>
          <w:szCs w:val="24"/>
        </w:rPr>
        <w:tab/>
      </w:r>
      <w:r w:rsidRPr="0011700F">
        <w:rPr>
          <w:rStyle w:val="markedcontent"/>
          <w:rFonts w:ascii="Times New Roman" w:hAnsi="Times New Roman" w:cs="Times New Roman"/>
          <w:sz w:val="24"/>
          <w:szCs w:val="24"/>
        </w:rPr>
        <w:t xml:space="preserve">Internal factor analysis. </w:t>
      </w:r>
      <w:r w:rsidRPr="009812A3">
        <w:rPr>
          <w:rStyle w:val="markedcontent"/>
          <w:rFonts w:ascii="Times New Roman" w:hAnsi="Times New Roman" w:cs="Times New Roman"/>
          <w:i/>
          <w:sz w:val="24"/>
          <w:szCs w:val="24"/>
        </w:rPr>
        <w:t>American International Journal of Social Sciences 3(5), 94-</w:t>
      </w:r>
      <w:r w:rsidRPr="009812A3">
        <w:rPr>
          <w:rStyle w:val="markedcontent"/>
          <w:rFonts w:ascii="Times New Roman" w:hAnsi="Times New Roman" w:cs="Times New Roman"/>
          <w:i/>
          <w:sz w:val="24"/>
          <w:szCs w:val="24"/>
        </w:rPr>
        <w:tab/>
        <w:t>103.</w:t>
      </w:r>
    </w:p>
    <w:p w14:paraId="7B91A296" w14:textId="3EF52D96" w:rsidR="00F95204" w:rsidRPr="009812A3"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i/>
          <w:sz w:val="24"/>
          <w:szCs w:val="24"/>
        </w:rPr>
      </w:pPr>
      <w:r w:rsidRPr="00CA22E4">
        <w:rPr>
          <w:rStyle w:val="markedcontent"/>
          <w:rFonts w:ascii="Times New Roman" w:hAnsi="Times New Roman" w:cs="Times New Roman"/>
          <w:sz w:val="24"/>
          <w:szCs w:val="24"/>
        </w:rPr>
        <w:t xml:space="preserve">Richter, A., &amp; Wei, C. (2013). Determinants of ownership concentration in public firms: </w:t>
      </w:r>
      <w:r>
        <w:rPr>
          <w:rStyle w:val="markedcontent"/>
          <w:rFonts w:ascii="Times New Roman" w:hAnsi="Times New Roman" w:cs="Times New Roman"/>
          <w:sz w:val="24"/>
          <w:szCs w:val="24"/>
        </w:rPr>
        <w:tab/>
      </w:r>
      <w:r w:rsidRPr="00CA22E4">
        <w:rPr>
          <w:rStyle w:val="markedcontent"/>
          <w:rFonts w:ascii="Times New Roman" w:hAnsi="Times New Roman" w:cs="Times New Roman"/>
          <w:sz w:val="24"/>
          <w:szCs w:val="24"/>
        </w:rPr>
        <w:t>importance of firm-, industry- and country-level factors</w:t>
      </w:r>
      <w:r w:rsidRPr="009812A3">
        <w:rPr>
          <w:rStyle w:val="markedcontent"/>
          <w:rFonts w:ascii="Times New Roman" w:hAnsi="Times New Roman" w:cs="Times New Roman"/>
          <w:i/>
          <w:sz w:val="24"/>
          <w:szCs w:val="24"/>
        </w:rPr>
        <w:t xml:space="preserve">. International Review of Law </w:t>
      </w:r>
      <w:r w:rsidRPr="009812A3">
        <w:rPr>
          <w:rStyle w:val="markedcontent"/>
          <w:rFonts w:ascii="Times New Roman" w:hAnsi="Times New Roman" w:cs="Times New Roman"/>
          <w:i/>
          <w:sz w:val="24"/>
          <w:szCs w:val="24"/>
        </w:rPr>
        <w:tab/>
        <w:t>and Economics, 33, 1-14.</w:t>
      </w:r>
    </w:p>
    <w:p w14:paraId="03C7B101" w14:textId="77777777" w:rsidR="003E2ECD" w:rsidRDefault="003E2ECD" w:rsidP="00FB3FAC">
      <w:pPr>
        <w:spacing w:after="0" w:line="240" w:lineRule="auto"/>
        <w:ind w:left="720" w:hanging="720"/>
        <w:jc w:val="both"/>
        <w:rPr>
          <w:rFonts w:ascii="Times New Roman" w:hAnsi="Times New Roman" w:cs="Times New Roman"/>
          <w:sz w:val="24"/>
          <w:szCs w:val="24"/>
        </w:rPr>
      </w:pPr>
    </w:p>
    <w:p w14:paraId="5EE2A1DE" w14:textId="562C7D17" w:rsidR="00EB41D6" w:rsidRDefault="00EB41D6" w:rsidP="00FB3FAC">
      <w:pPr>
        <w:spacing w:after="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Sijabat</w:t>
      </w:r>
      <w:proofErr w:type="spellEnd"/>
      <w:r>
        <w:rPr>
          <w:rFonts w:ascii="Times New Roman" w:hAnsi="Times New Roman" w:cs="Times New Roman"/>
          <w:sz w:val="24"/>
          <w:szCs w:val="24"/>
        </w:rPr>
        <w:t xml:space="preserve">, Y. P., </w:t>
      </w:r>
      <w:proofErr w:type="spellStart"/>
      <w:r>
        <w:rPr>
          <w:rFonts w:ascii="Times New Roman" w:hAnsi="Times New Roman" w:cs="Times New Roman"/>
          <w:sz w:val="24"/>
          <w:szCs w:val="24"/>
        </w:rPr>
        <w:t>Sinabutar</w:t>
      </w:r>
      <w:proofErr w:type="spellEnd"/>
      <w:r>
        <w:rPr>
          <w:rFonts w:ascii="Times New Roman" w:hAnsi="Times New Roman" w:cs="Times New Roman"/>
          <w:sz w:val="24"/>
          <w:szCs w:val="24"/>
        </w:rPr>
        <w:t xml:space="preserve">, M.J., </w:t>
      </w:r>
      <w:proofErr w:type="spellStart"/>
      <w:r>
        <w:rPr>
          <w:rFonts w:ascii="Times New Roman" w:hAnsi="Times New Roman" w:cs="Times New Roman"/>
          <w:sz w:val="24"/>
          <w:szCs w:val="24"/>
        </w:rPr>
        <w:t>Hirawati</w:t>
      </w:r>
      <w:proofErr w:type="spellEnd"/>
      <w:r>
        <w:rPr>
          <w:rFonts w:ascii="Times New Roman" w:hAnsi="Times New Roman" w:cs="Times New Roman"/>
          <w:sz w:val="24"/>
          <w:szCs w:val="24"/>
        </w:rPr>
        <w:t xml:space="preserve">, H. &amp; Giovanni, A. (2020). Determinants of concentration and type of ownership on bank performance and risks in Indonesia, </w:t>
      </w:r>
      <w:r w:rsidR="00963649">
        <w:rPr>
          <w:rFonts w:ascii="Times New Roman" w:hAnsi="Times New Roman" w:cs="Times New Roman"/>
          <w:sz w:val="24"/>
          <w:szCs w:val="24"/>
        </w:rPr>
        <w:t>ResearchGate</w:t>
      </w:r>
      <w:r>
        <w:rPr>
          <w:rFonts w:ascii="Times New Roman" w:hAnsi="Times New Roman" w:cs="Times New Roman"/>
          <w:sz w:val="24"/>
          <w:szCs w:val="24"/>
        </w:rPr>
        <w:t>.</w:t>
      </w:r>
    </w:p>
    <w:p w14:paraId="48F5F0D8" w14:textId="77777777" w:rsidR="003E2ECD" w:rsidRDefault="003E2ECD" w:rsidP="00FB3FAC">
      <w:pPr>
        <w:spacing w:after="0" w:line="240" w:lineRule="auto"/>
        <w:ind w:left="720" w:hanging="720"/>
        <w:jc w:val="both"/>
        <w:rPr>
          <w:rStyle w:val="markedcontent"/>
          <w:rFonts w:ascii="Times New Roman" w:hAnsi="Times New Roman" w:cs="Times New Roman"/>
          <w:sz w:val="24"/>
          <w:szCs w:val="24"/>
        </w:rPr>
      </w:pPr>
    </w:p>
    <w:p w14:paraId="1D17511A" w14:textId="77777777" w:rsidR="00F95204" w:rsidRPr="00142033"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i/>
          <w:sz w:val="24"/>
          <w:szCs w:val="24"/>
        </w:rPr>
      </w:pPr>
      <w:proofErr w:type="spellStart"/>
      <w:r w:rsidRPr="00A35384">
        <w:rPr>
          <w:rStyle w:val="markedcontent"/>
          <w:rFonts w:ascii="Times New Roman" w:hAnsi="Times New Roman" w:cs="Times New Roman"/>
          <w:sz w:val="24"/>
          <w:szCs w:val="24"/>
        </w:rPr>
        <w:t>Teimet</w:t>
      </w:r>
      <w:proofErr w:type="spellEnd"/>
      <w:r w:rsidRPr="00A35384">
        <w:rPr>
          <w:rStyle w:val="markedcontent"/>
          <w:rFonts w:ascii="Times New Roman" w:hAnsi="Times New Roman" w:cs="Times New Roman"/>
          <w:sz w:val="24"/>
          <w:szCs w:val="24"/>
        </w:rPr>
        <w:t xml:space="preserve">, R., </w:t>
      </w:r>
      <w:proofErr w:type="spellStart"/>
      <w:r w:rsidRPr="00A35384">
        <w:rPr>
          <w:rStyle w:val="markedcontent"/>
          <w:rFonts w:ascii="Times New Roman" w:hAnsi="Times New Roman" w:cs="Times New Roman"/>
          <w:sz w:val="24"/>
          <w:szCs w:val="24"/>
        </w:rPr>
        <w:t>Lishenga</w:t>
      </w:r>
      <w:proofErr w:type="spellEnd"/>
      <w:r w:rsidRPr="00A35384">
        <w:rPr>
          <w:rStyle w:val="markedcontent"/>
          <w:rFonts w:ascii="Times New Roman" w:hAnsi="Times New Roman" w:cs="Times New Roman"/>
          <w:sz w:val="24"/>
          <w:szCs w:val="24"/>
        </w:rPr>
        <w:t xml:space="preserve">, J., </w:t>
      </w:r>
      <w:proofErr w:type="spellStart"/>
      <w:r w:rsidRPr="00A35384">
        <w:rPr>
          <w:rStyle w:val="markedcontent"/>
          <w:rFonts w:ascii="Times New Roman" w:hAnsi="Times New Roman" w:cs="Times New Roman"/>
          <w:sz w:val="24"/>
          <w:szCs w:val="24"/>
        </w:rPr>
        <w:t>Iraya</w:t>
      </w:r>
      <w:proofErr w:type="spellEnd"/>
      <w:r w:rsidRPr="00A35384">
        <w:rPr>
          <w:rStyle w:val="markedcontent"/>
          <w:rFonts w:ascii="Times New Roman" w:hAnsi="Times New Roman" w:cs="Times New Roman"/>
          <w:sz w:val="24"/>
          <w:szCs w:val="24"/>
        </w:rPr>
        <w:t xml:space="preserve">, M. &amp; Duncan, E. (2019). The effect of bank size on profitability </w:t>
      </w:r>
      <w:r>
        <w:rPr>
          <w:rStyle w:val="markedcontent"/>
          <w:rFonts w:ascii="Times New Roman" w:hAnsi="Times New Roman" w:cs="Times New Roman"/>
          <w:sz w:val="24"/>
          <w:szCs w:val="24"/>
        </w:rPr>
        <w:tab/>
      </w:r>
      <w:r w:rsidRPr="00A35384">
        <w:rPr>
          <w:rStyle w:val="markedcontent"/>
          <w:rFonts w:ascii="Times New Roman" w:hAnsi="Times New Roman" w:cs="Times New Roman"/>
          <w:sz w:val="24"/>
          <w:szCs w:val="24"/>
        </w:rPr>
        <w:t xml:space="preserve">of commercial banks in Kenya. </w:t>
      </w:r>
      <w:r w:rsidRPr="00142033">
        <w:rPr>
          <w:rStyle w:val="markedcontent"/>
          <w:rFonts w:ascii="Times New Roman" w:hAnsi="Times New Roman" w:cs="Times New Roman"/>
          <w:i/>
          <w:sz w:val="24"/>
          <w:szCs w:val="24"/>
        </w:rPr>
        <w:t xml:space="preserve">International Journal of economics, Commerce &amp; </w:t>
      </w:r>
      <w:r w:rsidRPr="00142033">
        <w:rPr>
          <w:rStyle w:val="markedcontent"/>
          <w:rFonts w:ascii="Times New Roman" w:hAnsi="Times New Roman" w:cs="Times New Roman"/>
          <w:i/>
          <w:sz w:val="24"/>
          <w:szCs w:val="24"/>
        </w:rPr>
        <w:tab/>
        <w:t>Management, VII (12), 202 – 216.</w:t>
      </w:r>
    </w:p>
    <w:p w14:paraId="12F987DD" w14:textId="77777777" w:rsidR="003E2ECD" w:rsidRDefault="003E2ECD"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228F089F" w14:textId="0724345D" w:rsidR="00F95204" w:rsidRPr="00142033"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i/>
          <w:sz w:val="24"/>
          <w:szCs w:val="24"/>
        </w:rPr>
      </w:pPr>
      <w:r w:rsidRPr="00846826">
        <w:rPr>
          <w:rStyle w:val="markedcontent"/>
          <w:rFonts w:ascii="Times New Roman" w:hAnsi="Times New Roman" w:cs="Times New Roman"/>
          <w:sz w:val="24"/>
          <w:szCs w:val="24"/>
        </w:rPr>
        <w:lastRenderedPageBreak/>
        <w:t>Turk-</w:t>
      </w:r>
      <w:proofErr w:type="spellStart"/>
      <w:r w:rsidRPr="00846826">
        <w:rPr>
          <w:rStyle w:val="markedcontent"/>
          <w:rFonts w:ascii="Times New Roman" w:hAnsi="Times New Roman" w:cs="Times New Roman"/>
          <w:sz w:val="24"/>
          <w:szCs w:val="24"/>
        </w:rPr>
        <w:t>Ariss</w:t>
      </w:r>
      <w:proofErr w:type="spellEnd"/>
      <w:r w:rsidRPr="00846826">
        <w:rPr>
          <w:rStyle w:val="markedcontent"/>
          <w:rFonts w:ascii="Times New Roman" w:hAnsi="Times New Roman" w:cs="Times New Roman"/>
          <w:sz w:val="24"/>
          <w:szCs w:val="24"/>
        </w:rPr>
        <w:t xml:space="preserve">, R. (2010). On the implications of market power in banking: Evidence from </w:t>
      </w:r>
      <w:r>
        <w:rPr>
          <w:rStyle w:val="markedcontent"/>
          <w:rFonts w:ascii="Times New Roman" w:hAnsi="Times New Roman" w:cs="Times New Roman"/>
          <w:sz w:val="24"/>
          <w:szCs w:val="24"/>
        </w:rPr>
        <w:tab/>
      </w:r>
      <w:r w:rsidRPr="00846826">
        <w:rPr>
          <w:rStyle w:val="markedcontent"/>
          <w:rFonts w:ascii="Times New Roman" w:hAnsi="Times New Roman" w:cs="Times New Roman"/>
          <w:sz w:val="24"/>
          <w:szCs w:val="24"/>
        </w:rPr>
        <w:t xml:space="preserve">developing countries, </w:t>
      </w:r>
      <w:r w:rsidRPr="00142033">
        <w:rPr>
          <w:rStyle w:val="markedcontent"/>
          <w:rFonts w:ascii="Times New Roman" w:hAnsi="Times New Roman" w:cs="Times New Roman"/>
          <w:i/>
          <w:sz w:val="24"/>
          <w:szCs w:val="24"/>
        </w:rPr>
        <w:t>Journal of banking &amp; Finance,34(4), 765-775</w:t>
      </w:r>
    </w:p>
    <w:p w14:paraId="27A4FC15" w14:textId="77777777" w:rsidR="003E2ECD" w:rsidRDefault="003E2ECD" w:rsidP="00FB3FAC">
      <w:pPr>
        <w:autoSpaceDE w:val="0"/>
        <w:autoSpaceDN w:val="0"/>
        <w:adjustRightInd w:val="0"/>
        <w:spacing w:after="0" w:line="240" w:lineRule="auto"/>
        <w:ind w:left="567" w:right="8" w:hanging="567"/>
        <w:jc w:val="both"/>
        <w:rPr>
          <w:rFonts w:ascii="Times New Roman" w:hAnsi="Times New Roman" w:cs="Times New Roman"/>
          <w:sz w:val="24"/>
          <w:szCs w:val="24"/>
        </w:rPr>
      </w:pPr>
    </w:p>
    <w:p w14:paraId="644A7BC0" w14:textId="4DE00ECF" w:rsidR="00F95204"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r>
        <w:rPr>
          <w:rFonts w:ascii="Times New Roman" w:hAnsi="Times New Roman" w:cs="Times New Roman"/>
          <w:sz w:val="24"/>
          <w:szCs w:val="24"/>
        </w:rPr>
        <w:t xml:space="preserve">Umar, M. &amp; Sun, G. (2017).  Determinants of non-performing loans in Chinese Banks. </w:t>
      </w:r>
      <w:r>
        <w:rPr>
          <w:rFonts w:ascii="Times New Roman" w:hAnsi="Times New Roman" w:cs="Times New Roman"/>
          <w:i/>
          <w:sz w:val="24"/>
          <w:szCs w:val="24"/>
        </w:rPr>
        <w:t>Journal of Asia Business Studies;</w:t>
      </w:r>
      <w:r>
        <w:rPr>
          <w:rFonts w:ascii="Times New Roman" w:hAnsi="Times New Roman" w:cs="Times New Roman"/>
          <w:sz w:val="24"/>
          <w:szCs w:val="24"/>
        </w:rPr>
        <w:t xml:space="preserve"> 12(3), pp.273-289, </w:t>
      </w:r>
      <w:hyperlink r:id="rId11" w:history="1">
        <w:r w:rsidRPr="00951241">
          <w:rPr>
            <w:rStyle w:val="Hyperlink"/>
            <w:rFonts w:ascii="Times New Roman" w:hAnsi="Times New Roman" w:cs="Times New Roman"/>
            <w:sz w:val="24"/>
            <w:szCs w:val="24"/>
          </w:rPr>
          <w:t>https://Doi.Org/10.1108/Jabs-01-2016-0005</w:t>
        </w:r>
      </w:hyperlink>
    </w:p>
    <w:p w14:paraId="6B6384A2" w14:textId="77777777" w:rsidR="003E2ECD" w:rsidRDefault="003E2ECD"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p>
    <w:p w14:paraId="187A533D" w14:textId="702C37BF" w:rsidR="00F95204" w:rsidRDefault="00F95204" w:rsidP="00FB3FAC">
      <w:pPr>
        <w:autoSpaceDE w:val="0"/>
        <w:autoSpaceDN w:val="0"/>
        <w:adjustRightInd w:val="0"/>
        <w:spacing w:after="0" w:line="240" w:lineRule="auto"/>
        <w:ind w:left="567" w:right="8" w:hanging="567"/>
        <w:jc w:val="both"/>
        <w:rPr>
          <w:rStyle w:val="markedcontent"/>
          <w:rFonts w:ascii="Times New Roman" w:hAnsi="Times New Roman" w:cs="Times New Roman"/>
          <w:sz w:val="24"/>
          <w:szCs w:val="24"/>
        </w:rPr>
      </w:pPr>
      <w:r w:rsidRPr="00A737B7">
        <w:rPr>
          <w:rStyle w:val="markedcontent"/>
          <w:rFonts w:ascii="Times New Roman" w:hAnsi="Times New Roman" w:cs="Times New Roman"/>
          <w:sz w:val="24"/>
          <w:szCs w:val="24"/>
        </w:rPr>
        <w:t xml:space="preserve">Vinals, J., </w:t>
      </w:r>
      <w:proofErr w:type="spellStart"/>
      <w:r w:rsidRPr="00A737B7">
        <w:rPr>
          <w:rStyle w:val="markedcontent"/>
          <w:rFonts w:ascii="Times New Roman" w:hAnsi="Times New Roman" w:cs="Times New Roman"/>
          <w:sz w:val="24"/>
          <w:szCs w:val="24"/>
        </w:rPr>
        <w:t>Pazarbasioglu</w:t>
      </w:r>
      <w:proofErr w:type="spellEnd"/>
      <w:r w:rsidRPr="00A737B7">
        <w:rPr>
          <w:rStyle w:val="markedcontent"/>
          <w:rFonts w:ascii="Times New Roman" w:hAnsi="Times New Roman" w:cs="Times New Roman"/>
          <w:sz w:val="24"/>
          <w:szCs w:val="24"/>
        </w:rPr>
        <w:t xml:space="preserve">, C. Surti, J., </w:t>
      </w:r>
      <w:proofErr w:type="spellStart"/>
      <w:r w:rsidRPr="00A737B7">
        <w:rPr>
          <w:rStyle w:val="markedcontent"/>
          <w:rFonts w:ascii="Times New Roman" w:hAnsi="Times New Roman" w:cs="Times New Roman"/>
          <w:sz w:val="24"/>
          <w:szCs w:val="24"/>
        </w:rPr>
        <w:t>Narain</w:t>
      </w:r>
      <w:proofErr w:type="spellEnd"/>
      <w:r w:rsidRPr="00A737B7">
        <w:rPr>
          <w:rStyle w:val="markedcontent"/>
          <w:rFonts w:ascii="Times New Roman" w:hAnsi="Times New Roman" w:cs="Times New Roman"/>
          <w:sz w:val="24"/>
          <w:szCs w:val="24"/>
        </w:rPr>
        <w:t xml:space="preserve"> A., </w:t>
      </w:r>
      <w:proofErr w:type="spellStart"/>
      <w:r w:rsidRPr="00A737B7">
        <w:rPr>
          <w:rStyle w:val="markedcontent"/>
          <w:rFonts w:ascii="Times New Roman" w:hAnsi="Times New Roman" w:cs="Times New Roman"/>
          <w:sz w:val="24"/>
          <w:szCs w:val="24"/>
        </w:rPr>
        <w:t>Erbenova</w:t>
      </w:r>
      <w:proofErr w:type="spellEnd"/>
      <w:r w:rsidRPr="00A737B7">
        <w:rPr>
          <w:rStyle w:val="markedcontent"/>
          <w:rFonts w:ascii="Times New Roman" w:hAnsi="Times New Roman" w:cs="Times New Roman"/>
          <w:sz w:val="24"/>
          <w:szCs w:val="24"/>
        </w:rPr>
        <w:t xml:space="preserve"> M., &amp; Chow J., (2013). Creating a </w:t>
      </w:r>
      <w:r>
        <w:rPr>
          <w:rStyle w:val="markedcontent"/>
          <w:rFonts w:ascii="Times New Roman" w:hAnsi="Times New Roman" w:cs="Times New Roman"/>
          <w:sz w:val="24"/>
          <w:szCs w:val="24"/>
        </w:rPr>
        <w:tab/>
      </w:r>
      <w:r w:rsidRPr="00A737B7">
        <w:rPr>
          <w:rStyle w:val="markedcontent"/>
          <w:rFonts w:ascii="Times New Roman" w:hAnsi="Times New Roman" w:cs="Times New Roman"/>
          <w:sz w:val="24"/>
          <w:szCs w:val="24"/>
        </w:rPr>
        <w:t xml:space="preserve">safer financial system: Will the Volcker, Vickers, and </w:t>
      </w:r>
      <w:proofErr w:type="spellStart"/>
      <w:r w:rsidRPr="00A737B7">
        <w:rPr>
          <w:rStyle w:val="markedcontent"/>
          <w:rFonts w:ascii="Times New Roman" w:hAnsi="Times New Roman" w:cs="Times New Roman"/>
          <w:sz w:val="24"/>
          <w:szCs w:val="24"/>
        </w:rPr>
        <w:t>Liikanen</w:t>
      </w:r>
      <w:proofErr w:type="spellEnd"/>
      <w:r w:rsidRPr="00A737B7">
        <w:rPr>
          <w:rStyle w:val="markedcontent"/>
          <w:rFonts w:ascii="Times New Roman" w:hAnsi="Times New Roman" w:cs="Times New Roman"/>
          <w:sz w:val="24"/>
          <w:szCs w:val="24"/>
        </w:rPr>
        <w:t xml:space="preserve"> structural measures </w:t>
      </w:r>
      <w:r>
        <w:rPr>
          <w:rStyle w:val="markedcontent"/>
          <w:rFonts w:ascii="Times New Roman" w:hAnsi="Times New Roman" w:cs="Times New Roman"/>
          <w:sz w:val="24"/>
          <w:szCs w:val="24"/>
        </w:rPr>
        <w:tab/>
      </w:r>
      <w:r w:rsidRPr="00A737B7">
        <w:rPr>
          <w:rStyle w:val="markedcontent"/>
          <w:rFonts w:ascii="Times New Roman" w:hAnsi="Times New Roman" w:cs="Times New Roman"/>
          <w:sz w:val="24"/>
          <w:szCs w:val="24"/>
        </w:rPr>
        <w:t>help. IMF Staff Discussion Note 13/04</w:t>
      </w:r>
    </w:p>
    <w:p w14:paraId="63A22D95" w14:textId="77777777" w:rsidR="00A35384" w:rsidRDefault="00A35384" w:rsidP="00FB3FAC">
      <w:pPr>
        <w:autoSpaceDE w:val="0"/>
        <w:autoSpaceDN w:val="0"/>
        <w:adjustRightInd w:val="0"/>
        <w:spacing w:after="0" w:line="240" w:lineRule="auto"/>
        <w:ind w:right="8"/>
        <w:jc w:val="both"/>
        <w:rPr>
          <w:rStyle w:val="markedcontent"/>
          <w:rFonts w:ascii="Times New Roman" w:hAnsi="Times New Roman" w:cs="Times New Roman"/>
          <w:sz w:val="24"/>
          <w:szCs w:val="24"/>
        </w:rPr>
      </w:pPr>
    </w:p>
    <w:p w14:paraId="55DEF142" w14:textId="292AAB30" w:rsidR="00C432B2" w:rsidRPr="00A35384" w:rsidRDefault="00A35384" w:rsidP="00FB3FAC">
      <w:pPr>
        <w:autoSpaceDE w:val="0"/>
        <w:autoSpaceDN w:val="0"/>
        <w:adjustRightInd w:val="0"/>
        <w:spacing w:after="0" w:line="240" w:lineRule="auto"/>
        <w:ind w:right="8"/>
        <w:jc w:val="both"/>
        <w:rPr>
          <w:rStyle w:val="markedcontent"/>
          <w:rFonts w:ascii="Times New Roman" w:hAnsi="Times New Roman" w:cs="Times New Roman"/>
          <w:sz w:val="24"/>
          <w:szCs w:val="24"/>
        </w:rPr>
      </w:pPr>
      <w:r w:rsidRPr="00A35384">
        <w:rPr>
          <w:rFonts w:ascii="Times New Roman" w:hAnsi="Times New Roman" w:cs="Times New Roman"/>
          <w:sz w:val="24"/>
          <w:szCs w:val="24"/>
        </w:rPr>
        <w:br/>
      </w:r>
    </w:p>
    <w:bookmarkEnd w:id="0"/>
    <w:p w14:paraId="39ED0310" w14:textId="77777777" w:rsidR="00C432B2" w:rsidRPr="00C432B2" w:rsidRDefault="00C432B2" w:rsidP="00FB3FAC">
      <w:pPr>
        <w:autoSpaceDE w:val="0"/>
        <w:autoSpaceDN w:val="0"/>
        <w:adjustRightInd w:val="0"/>
        <w:spacing w:after="0" w:line="240" w:lineRule="auto"/>
        <w:ind w:right="8"/>
        <w:jc w:val="both"/>
        <w:rPr>
          <w:rFonts w:ascii="Times New Roman" w:hAnsi="Times New Roman" w:cs="Times New Roman"/>
          <w:sz w:val="24"/>
          <w:szCs w:val="24"/>
        </w:rPr>
      </w:pPr>
    </w:p>
    <w:sectPr w:rsidR="00C432B2" w:rsidRPr="00C432B2" w:rsidSect="005016BA">
      <w:footerReference w:type="default" r:id="rId12"/>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952D" w14:textId="77777777" w:rsidR="00816F1B" w:rsidRDefault="00816F1B" w:rsidP="00F95204">
      <w:pPr>
        <w:spacing w:after="0" w:line="240" w:lineRule="auto"/>
      </w:pPr>
      <w:r>
        <w:separator/>
      </w:r>
    </w:p>
  </w:endnote>
  <w:endnote w:type="continuationSeparator" w:id="0">
    <w:p w14:paraId="6437D8C1" w14:textId="77777777" w:rsidR="00816F1B" w:rsidRDefault="00816F1B" w:rsidP="00F95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158931"/>
      <w:docPartObj>
        <w:docPartGallery w:val="Page Numbers (Bottom of Page)"/>
        <w:docPartUnique/>
      </w:docPartObj>
    </w:sdtPr>
    <w:sdtEndPr>
      <w:rPr>
        <w:noProof/>
      </w:rPr>
    </w:sdtEndPr>
    <w:sdtContent>
      <w:p w14:paraId="5990E88D" w14:textId="6965BF21" w:rsidR="00030712" w:rsidRDefault="00030712">
        <w:pPr>
          <w:pStyle w:val="Footer"/>
          <w:jc w:val="center"/>
        </w:pPr>
        <w:r>
          <w:fldChar w:fldCharType="begin"/>
        </w:r>
        <w:r>
          <w:instrText xml:space="preserve"> PAGE   \* MERGEFORMAT </w:instrText>
        </w:r>
        <w:r>
          <w:fldChar w:fldCharType="separate"/>
        </w:r>
        <w:r w:rsidR="00145EF2">
          <w:rPr>
            <w:noProof/>
          </w:rPr>
          <w:t>14</w:t>
        </w:r>
        <w:r>
          <w:rPr>
            <w:noProof/>
          </w:rPr>
          <w:fldChar w:fldCharType="end"/>
        </w:r>
      </w:p>
    </w:sdtContent>
  </w:sdt>
  <w:p w14:paraId="3A812265" w14:textId="77777777" w:rsidR="00030712" w:rsidRDefault="0003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2103" w14:textId="77777777" w:rsidR="00816F1B" w:rsidRDefault="00816F1B" w:rsidP="00F95204">
      <w:pPr>
        <w:spacing w:after="0" w:line="240" w:lineRule="auto"/>
      </w:pPr>
      <w:r>
        <w:separator/>
      </w:r>
    </w:p>
  </w:footnote>
  <w:footnote w:type="continuationSeparator" w:id="0">
    <w:p w14:paraId="7221DABD" w14:textId="77777777" w:rsidR="00816F1B" w:rsidRDefault="00816F1B" w:rsidP="00F95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F1D63"/>
    <w:multiLevelType w:val="hybridMultilevel"/>
    <w:tmpl w:val="407E9CC2"/>
    <w:lvl w:ilvl="0" w:tplc="74B4BA4A">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9E7FD1"/>
    <w:multiLevelType w:val="hybridMultilevel"/>
    <w:tmpl w:val="BC664EF6"/>
    <w:lvl w:ilvl="0" w:tplc="26C4B0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CCC7E9D"/>
    <w:multiLevelType w:val="multilevel"/>
    <w:tmpl w:val="42BE0750"/>
    <w:lvl w:ilvl="0">
      <w:start w:val="1"/>
      <w:numFmt w:val="lowerRoman"/>
      <w:lvlText w:val="%1."/>
      <w:lvlJc w:val="left"/>
      <w:pPr>
        <w:ind w:left="1080" w:hanging="360"/>
      </w:pPr>
      <w:rPr>
        <w:rFonts w:ascii="Times New Roman" w:eastAsiaTheme="minorEastAsia" w:hAnsi="Times New Roman" w:cs="Times New Roman"/>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615530347">
    <w:abstractNumId w:val="2"/>
  </w:num>
  <w:num w:numId="2" w16cid:durableId="658121825">
    <w:abstractNumId w:val="1"/>
  </w:num>
  <w:num w:numId="3" w16cid:durableId="1007974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AzNzI1NrcwMDKyMDdS0lEKTi0uzszPAykwrQUApj820CwAAAA="/>
  </w:docVars>
  <w:rsids>
    <w:rsidRoot w:val="00703714"/>
    <w:rsid w:val="00000CEE"/>
    <w:rsid w:val="000024FC"/>
    <w:rsid w:val="0000389E"/>
    <w:rsid w:val="0000442C"/>
    <w:rsid w:val="00005C55"/>
    <w:rsid w:val="0000607F"/>
    <w:rsid w:val="00007028"/>
    <w:rsid w:val="000104BE"/>
    <w:rsid w:val="00017BF2"/>
    <w:rsid w:val="00030712"/>
    <w:rsid w:val="000307CF"/>
    <w:rsid w:val="00031572"/>
    <w:rsid w:val="00032D39"/>
    <w:rsid w:val="000345BD"/>
    <w:rsid w:val="00041249"/>
    <w:rsid w:val="00055636"/>
    <w:rsid w:val="00062268"/>
    <w:rsid w:val="000622F7"/>
    <w:rsid w:val="00066C80"/>
    <w:rsid w:val="00080FFE"/>
    <w:rsid w:val="00081202"/>
    <w:rsid w:val="000912C4"/>
    <w:rsid w:val="00092F22"/>
    <w:rsid w:val="000A057A"/>
    <w:rsid w:val="000A071B"/>
    <w:rsid w:val="000A6A49"/>
    <w:rsid w:val="000B2B46"/>
    <w:rsid w:val="000C55D7"/>
    <w:rsid w:val="000C571E"/>
    <w:rsid w:val="000E0986"/>
    <w:rsid w:val="000F3337"/>
    <w:rsid w:val="0010633E"/>
    <w:rsid w:val="0011011E"/>
    <w:rsid w:val="0011700F"/>
    <w:rsid w:val="00123551"/>
    <w:rsid w:val="00130465"/>
    <w:rsid w:val="0013080B"/>
    <w:rsid w:val="00136572"/>
    <w:rsid w:val="00140C84"/>
    <w:rsid w:val="00142033"/>
    <w:rsid w:val="0014300B"/>
    <w:rsid w:val="00143BEE"/>
    <w:rsid w:val="0014572F"/>
    <w:rsid w:val="00145EF2"/>
    <w:rsid w:val="00147816"/>
    <w:rsid w:val="001623F8"/>
    <w:rsid w:val="001670EE"/>
    <w:rsid w:val="00167DDA"/>
    <w:rsid w:val="00183E53"/>
    <w:rsid w:val="00186DE1"/>
    <w:rsid w:val="0019093B"/>
    <w:rsid w:val="001941D9"/>
    <w:rsid w:val="00194EED"/>
    <w:rsid w:val="001B284A"/>
    <w:rsid w:val="001C5BD4"/>
    <w:rsid w:val="001C7C54"/>
    <w:rsid w:val="001E1CA2"/>
    <w:rsid w:val="001E7411"/>
    <w:rsid w:val="001F0B84"/>
    <w:rsid w:val="001F12C3"/>
    <w:rsid w:val="00207483"/>
    <w:rsid w:val="002249C7"/>
    <w:rsid w:val="002264B2"/>
    <w:rsid w:val="00234C13"/>
    <w:rsid w:val="00244D06"/>
    <w:rsid w:val="0024668E"/>
    <w:rsid w:val="00251CE0"/>
    <w:rsid w:val="002554B8"/>
    <w:rsid w:val="0026382C"/>
    <w:rsid w:val="00274C4A"/>
    <w:rsid w:val="00283056"/>
    <w:rsid w:val="00296AF2"/>
    <w:rsid w:val="00297ADC"/>
    <w:rsid w:val="002A587C"/>
    <w:rsid w:val="002B5146"/>
    <w:rsid w:val="002B5898"/>
    <w:rsid w:val="002B7F4A"/>
    <w:rsid w:val="002D0496"/>
    <w:rsid w:val="002D24BA"/>
    <w:rsid w:val="002D460D"/>
    <w:rsid w:val="002D6A15"/>
    <w:rsid w:val="002F1A8D"/>
    <w:rsid w:val="00300FC5"/>
    <w:rsid w:val="003037D1"/>
    <w:rsid w:val="003256EB"/>
    <w:rsid w:val="0032641F"/>
    <w:rsid w:val="00330E22"/>
    <w:rsid w:val="00331CEC"/>
    <w:rsid w:val="00331EFF"/>
    <w:rsid w:val="00341408"/>
    <w:rsid w:val="0034205F"/>
    <w:rsid w:val="003426A2"/>
    <w:rsid w:val="00350376"/>
    <w:rsid w:val="00350949"/>
    <w:rsid w:val="00372052"/>
    <w:rsid w:val="00392315"/>
    <w:rsid w:val="00396A4F"/>
    <w:rsid w:val="003B2A86"/>
    <w:rsid w:val="003B40D3"/>
    <w:rsid w:val="003B43BB"/>
    <w:rsid w:val="003C2196"/>
    <w:rsid w:val="003C5EC5"/>
    <w:rsid w:val="003C60FA"/>
    <w:rsid w:val="003C6CA3"/>
    <w:rsid w:val="003D4632"/>
    <w:rsid w:val="003D5333"/>
    <w:rsid w:val="003D61C4"/>
    <w:rsid w:val="003E2ECD"/>
    <w:rsid w:val="003E358D"/>
    <w:rsid w:val="003F25A9"/>
    <w:rsid w:val="004207DA"/>
    <w:rsid w:val="00426A71"/>
    <w:rsid w:val="00427616"/>
    <w:rsid w:val="00433975"/>
    <w:rsid w:val="00441ECC"/>
    <w:rsid w:val="004432C7"/>
    <w:rsid w:val="004440DA"/>
    <w:rsid w:val="00445CF0"/>
    <w:rsid w:val="004468C3"/>
    <w:rsid w:val="0045006B"/>
    <w:rsid w:val="00452771"/>
    <w:rsid w:val="0045309B"/>
    <w:rsid w:val="00464B25"/>
    <w:rsid w:val="00466249"/>
    <w:rsid w:val="004672B4"/>
    <w:rsid w:val="00483E4E"/>
    <w:rsid w:val="004844EF"/>
    <w:rsid w:val="00491013"/>
    <w:rsid w:val="004A164C"/>
    <w:rsid w:val="004A1D9E"/>
    <w:rsid w:val="004B7A8C"/>
    <w:rsid w:val="004C3371"/>
    <w:rsid w:val="004D33B4"/>
    <w:rsid w:val="004E5F0E"/>
    <w:rsid w:val="004F10AE"/>
    <w:rsid w:val="004F6DEB"/>
    <w:rsid w:val="005016BA"/>
    <w:rsid w:val="00506410"/>
    <w:rsid w:val="005207B5"/>
    <w:rsid w:val="00532C57"/>
    <w:rsid w:val="00535791"/>
    <w:rsid w:val="00536EE7"/>
    <w:rsid w:val="0054679E"/>
    <w:rsid w:val="005555B1"/>
    <w:rsid w:val="00560A61"/>
    <w:rsid w:val="0056501C"/>
    <w:rsid w:val="00565115"/>
    <w:rsid w:val="005711F5"/>
    <w:rsid w:val="005810A2"/>
    <w:rsid w:val="00582282"/>
    <w:rsid w:val="00583113"/>
    <w:rsid w:val="0059078F"/>
    <w:rsid w:val="00593BE5"/>
    <w:rsid w:val="0059637B"/>
    <w:rsid w:val="005A179B"/>
    <w:rsid w:val="005A78A7"/>
    <w:rsid w:val="005B32EF"/>
    <w:rsid w:val="005B4645"/>
    <w:rsid w:val="005D1F60"/>
    <w:rsid w:val="005D2FEA"/>
    <w:rsid w:val="005D309C"/>
    <w:rsid w:val="005E1BA4"/>
    <w:rsid w:val="005E1FA0"/>
    <w:rsid w:val="005F0E7E"/>
    <w:rsid w:val="005F644B"/>
    <w:rsid w:val="00605DA2"/>
    <w:rsid w:val="00616401"/>
    <w:rsid w:val="00630CA5"/>
    <w:rsid w:val="00632423"/>
    <w:rsid w:val="006457D6"/>
    <w:rsid w:val="006463C5"/>
    <w:rsid w:val="00655424"/>
    <w:rsid w:val="006571B0"/>
    <w:rsid w:val="00664407"/>
    <w:rsid w:val="00670EF2"/>
    <w:rsid w:val="00697552"/>
    <w:rsid w:val="006A1AA4"/>
    <w:rsid w:val="006B12D2"/>
    <w:rsid w:val="006B1BE6"/>
    <w:rsid w:val="006B2440"/>
    <w:rsid w:val="006B2769"/>
    <w:rsid w:val="006B3138"/>
    <w:rsid w:val="006B3C7C"/>
    <w:rsid w:val="006B3E31"/>
    <w:rsid w:val="006B45F4"/>
    <w:rsid w:val="006C1770"/>
    <w:rsid w:val="006C587A"/>
    <w:rsid w:val="006D1FD4"/>
    <w:rsid w:val="006D2073"/>
    <w:rsid w:val="006E0BC2"/>
    <w:rsid w:val="006E6E47"/>
    <w:rsid w:val="006F5045"/>
    <w:rsid w:val="006F51D8"/>
    <w:rsid w:val="006F7D62"/>
    <w:rsid w:val="00701A4B"/>
    <w:rsid w:val="00703714"/>
    <w:rsid w:val="00716523"/>
    <w:rsid w:val="00717CAC"/>
    <w:rsid w:val="007217A5"/>
    <w:rsid w:val="00730F65"/>
    <w:rsid w:val="00736419"/>
    <w:rsid w:val="00740EC9"/>
    <w:rsid w:val="0074353B"/>
    <w:rsid w:val="00745C0D"/>
    <w:rsid w:val="0075460C"/>
    <w:rsid w:val="00754BBB"/>
    <w:rsid w:val="007645CF"/>
    <w:rsid w:val="00772FC6"/>
    <w:rsid w:val="00781CDF"/>
    <w:rsid w:val="00790294"/>
    <w:rsid w:val="00790440"/>
    <w:rsid w:val="00795C21"/>
    <w:rsid w:val="00796F3D"/>
    <w:rsid w:val="007A164D"/>
    <w:rsid w:val="007A32C3"/>
    <w:rsid w:val="007B1A30"/>
    <w:rsid w:val="007B68AF"/>
    <w:rsid w:val="007C6A53"/>
    <w:rsid w:val="007D1D5D"/>
    <w:rsid w:val="007D78E1"/>
    <w:rsid w:val="007D7AE3"/>
    <w:rsid w:val="007E28B1"/>
    <w:rsid w:val="0080287A"/>
    <w:rsid w:val="00804FFB"/>
    <w:rsid w:val="00805111"/>
    <w:rsid w:val="00814E9C"/>
    <w:rsid w:val="008162F6"/>
    <w:rsid w:val="008165D6"/>
    <w:rsid w:val="00816F1B"/>
    <w:rsid w:val="00821116"/>
    <w:rsid w:val="00822523"/>
    <w:rsid w:val="00832F8B"/>
    <w:rsid w:val="00841786"/>
    <w:rsid w:val="008440A1"/>
    <w:rsid w:val="008458F4"/>
    <w:rsid w:val="00846826"/>
    <w:rsid w:val="00846F23"/>
    <w:rsid w:val="008537BD"/>
    <w:rsid w:val="00856CC7"/>
    <w:rsid w:val="00862753"/>
    <w:rsid w:val="00862DE2"/>
    <w:rsid w:val="0087035B"/>
    <w:rsid w:val="008717FD"/>
    <w:rsid w:val="00873070"/>
    <w:rsid w:val="008804B5"/>
    <w:rsid w:val="00882282"/>
    <w:rsid w:val="00882CB9"/>
    <w:rsid w:val="008925A4"/>
    <w:rsid w:val="008A33C3"/>
    <w:rsid w:val="008B6DFC"/>
    <w:rsid w:val="008B741C"/>
    <w:rsid w:val="008D1AAF"/>
    <w:rsid w:val="008D7713"/>
    <w:rsid w:val="008E05A1"/>
    <w:rsid w:val="008E0629"/>
    <w:rsid w:val="008F636E"/>
    <w:rsid w:val="00904E7A"/>
    <w:rsid w:val="009069C4"/>
    <w:rsid w:val="009149E4"/>
    <w:rsid w:val="00916C47"/>
    <w:rsid w:val="00930A03"/>
    <w:rsid w:val="00931CDD"/>
    <w:rsid w:val="009378E5"/>
    <w:rsid w:val="009440D7"/>
    <w:rsid w:val="00946E64"/>
    <w:rsid w:val="00961329"/>
    <w:rsid w:val="00963649"/>
    <w:rsid w:val="00977114"/>
    <w:rsid w:val="0097729A"/>
    <w:rsid w:val="009812A3"/>
    <w:rsid w:val="00995F78"/>
    <w:rsid w:val="009A438D"/>
    <w:rsid w:val="009A632A"/>
    <w:rsid w:val="009A7D8E"/>
    <w:rsid w:val="009A7F54"/>
    <w:rsid w:val="009B6951"/>
    <w:rsid w:val="009C3209"/>
    <w:rsid w:val="009D49C2"/>
    <w:rsid w:val="009E17CC"/>
    <w:rsid w:val="009E3500"/>
    <w:rsid w:val="009F2E48"/>
    <w:rsid w:val="009F7F95"/>
    <w:rsid w:val="00A01287"/>
    <w:rsid w:val="00A224B9"/>
    <w:rsid w:val="00A26746"/>
    <w:rsid w:val="00A302C1"/>
    <w:rsid w:val="00A3037A"/>
    <w:rsid w:val="00A32282"/>
    <w:rsid w:val="00A334A2"/>
    <w:rsid w:val="00A35384"/>
    <w:rsid w:val="00A354EC"/>
    <w:rsid w:val="00A40599"/>
    <w:rsid w:val="00A40FC9"/>
    <w:rsid w:val="00A51DB7"/>
    <w:rsid w:val="00A54EFC"/>
    <w:rsid w:val="00A55B26"/>
    <w:rsid w:val="00A56EDB"/>
    <w:rsid w:val="00A610AE"/>
    <w:rsid w:val="00A71BDB"/>
    <w:rsid w:val="00A737B7"/>
    <w:rsid w:val="00A81685"/>
    <w:rsid w:val="00A81C4B"/>
    <w:rsid w:val="00A837DE"/>
    <w:rsid w:val="00A9019F"/>
    <w:rsid w:val="00A971FF"/>
    <w:rsid w:val="00AA464F"/>
    <w:rsid w:val="00AA7C4F"/>
    <w:rsid w:val="00AB4383"/>
    <w:rsid w:val="00AC3A6B"/>
    <w:rsid w:val="00AC3EDB"/>
    <w:rsid w:val="00AC485C"/>
    <w:rsid w:val="00AD2D75"/>
    <w:rsid w:val="00AD7105"/>
    <w:rsid w:val="00AE52AB"/>
    <w:rsid w:val="00AF421C"/>
    <w:rsid w:val="00AF5CDE"/>
    <w:rsid w:val="00B0546B"/>
    <w:rsid w:val="00B06816"/>
    <w:rsid w:val="00B1004F"/>
    <w:rsid w:val="00B24773"/>
    <w:rsid w:val="00B24AE7"/>
    <w:rsid w:val="00B358B1"/>
    <w:rsid w:val="00B35F36"/>
    <w:rsid w:val="00B468AB"/>
    <w:rsid w:val="00B70AD8"/>
    <w:rsid w:val="00B71E3F"/>
    <w:rsid w:val="00B85385"/>
    <w:rsid w:val="00B90D5D"/>
    <w:rsid w:val="00B9269C"/>
    <w:rsid w:val="00BB0897"/>
    <w:rsid w:val="00BB1286"/>
    <w:rsid w:val="00BB42B0"/>
    <w:rsid w:val="00BC26CF"/>
    <w:rsid w:val="00BC6750"/>
    <w:rsid w:val="00BD10C1"/>
    <w:rsid w:val="00BD4F8A"/>
    <w:rsid w:val="00BE3CB7"/>
    <w:rsid w:val="00BF13CB"/>
    <w:rsid w:val="00BF52AE"/>
    <w:rsid w:val="00C03CFB"/>
    <w:rsid w:val="00C05E7C"/>
    <w:rsid w:val="00C12C44"/>
    <w:rsid w:val="00C12E38"/>
    <w:rsid w:val="00C172B8"/>
    <w:rsid w:val="00C237AE"/>
    <w:rsid w:val="00C251B2"/>
    <w:rsid w:val="00C262FE"/>
    <w:rsid w:val="00C404D4"/>
    <w:rsid w:val="00C42859"/>
    <w:rsid w:val="00C432B2"/>
    <w:rsid w:val="00C559CC"/>
    <w:rsid w:val="00C5713C"/>
    <w:rsid w:val="00C617FB"/>
    <w:rsid w:val="00C630EE"/>
    <w:rsid w:val="00C81DFA"/>
    <w:rsid w:val="00C86827"/>
    <w:rsid w:val="00C93CEC"/>
    <w:rsid w:val="00C96F95"/>
    <w:rsid w:val="00CA02F0"/>
    <w:rsid w:val="00CA22E4"/>
    <w:rsid w:val="00CA3EFB"/>
    <w:rsid w:val="00CA5008"/>
    <w:rsid w:val="00CA50DC"/>
    <w:rsid w:val="00CB1FF5"/>
    <w:rsid w:val="00CD17F3"/>
    <w:rsid w:val="00CD583A"/>
    <w:rsid w:val="00CE46EA"/>
    <w:rsid w:val="00CF02F2"/>
    <w:rsid w:val="00CF3996"/>
    <w:rsid w:val="00CF3A25"/>
    <w:rsid w:val="00D0091C"/>
    <w:rsid w:val="00D01257"/>
    <w:rsid w:val="00D059D4"/>
    <w:rsid w:val="00D124B6"/>
    <w:rsid w:val="00D221DD"/>
    <w:rsid w:val="00D243AE"/>
    <w:rsid w:val="00D34B20"/>
    <w:rsid w:val="00D4107C"/>
    <w:rsid w:val="00D4527B"/>
    <w:rsid w:val="00D65EB7"/>
    <w:rsid w:val="00D66F53"/>
    <w:rsid w:val="00D70EB4"/>
    <w:rsid w:val="00D7644D"/>
    <w:rsid w:val="00D77110"/>
    <w:rsid w:val="00DA2658"/>
    <w:rsid w:val="00DA3AA0"/>
    <w:rsid w:val="00DA4F0D"/>
    <w:rsid w:val="00DA61E1"/>
    <w:rsid w:val="00DA7CAD"/>
    <w:rsid w:val="00DC3D72"/>
    <w:rsid w:val="00DD58E5"/>
    <w:rsid w:val="00DD6E60"/>
    <w:rsid w:val="00DE702A"/>
    <w:rsid w:val="00E20D12"/>
    <w:rsid w:val="00E21ACC"/>
    <w:rsid w:val="00E232C4"/>
    <w:rsid w:val="00E30ED6"/>
    <w:rsid w:val="00E4796F"/>
    <w:rsid w:val="00E60C79"/>
    <w:rsid w:val="00E62FF4"/>
    <w:rsid w:val="00E74785"/>
    <w:rsid w:val="00E75C9E"/>
    <w:rsid w:val="00E82E8F"/>
    <w:rsid w:val="00E97449"/>
    <w:rsid w:val="00EA02D5"/>
    <w:rsid w:val="00EA4346"/>
    <w:rsid w:val="00EA4A5B"/>
    <w:rsid w:val="00EB0B09"/>
    <w:rsid w:val="00EB0FD3"/>
    <w:rsid w:val="00EB371F"/>
    <w:rsid w:val="00EB41D6"/>
    <w:rsid w:val="00EB44F6"/>
    <w:rsid w:val="00EB5684"/>
    <w:rsid w:val="00EC7184"/>
    <w:rsid w:val="00ED78DF"/>
    <w:rsid w:val="00EE331A"/>
    <w:rsid w:val="00EE65D6"/>
    <w:rsid w:val="00EF1CC7"/>
    <w:rsid w:val="00EF3F3A"/>
    <w:rsid w:val="00EF5957"/>
    <w:rsid w:val="00F00E65"/>
    <w:rsid w:val="00F01761"/>
    <w:rsid w:val="00F02B81"/>
    <w:rsid w:val="00F10E29"/>
    <w:rsid w:val="00F139E7"/>
    <w:rsid w:val="00F22830"/>
    <w:rsid w:val="00F233BA"/>
    <w:rsid w:val="00F356B1"/>
    <w:rsid w:val="00F36442"/>
    <w:rsid w:val="00F36905"/>
    <w:rsid w:val="00F46850"/>
    <w:rsid w:val="00F50E76"/>
    <w:rsid w:val="00F571CC"/>
    <w:rsid w:val="00F61C17"/>
    <w:rsid w:val="00F70B63"/>
    <w:rsid w:val="00F743AE"/>
    <w:rsid w:val="00F80073"/>
    <w:rsid w:val="00F8580C"/>
    <w:rsid w:val="00F92F00"/>
    <w:rsid w:val="00F95204"/>
    <w:rsid w:val="00FA1227"/>
    <w:rsid w:val="00FA1C31"/>
    <w:rsid w:val="00FA51AD"/>
    <w:rsid w:val="00FA75E0"/>
    <w:rsid w:val="00FB3FAC"/>
    <w:rsid w:val="00FB74ED"/>
    <w:rsid w:val="00FC617A"/>
    <w:rsid w:val="00FD452E"/>
    <w:rsid w:val="00FD6EE4"/>
    <w:rsid w:val="00FF2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7158"/>
  <w15:docId w15:val="{5E3F0408-62C9-4BBD-8AFD-58CF42B8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F51D8"/>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C5BD4"/>
    <w:rPr>
      <w:sz w:val="16"/>
      <w:szCs w:val="16"/>
    </w:rPr>
  </w:style>
  <w:style w:type="character" w:customStyle="1" w:styleId="field-content">
    <w:name w:val="field-content"/>
    <w:basedOn w:val="DefaultParagraphFont"/>
    <w:rsid w:val="00B06816"/>
    <w:rPr>
      <w:rFonts w:cs="Times New Roman"/>
    </w:rPr>
  </w:style>
  <w:style w:type="character" w:customStyle="1" w:styleId="markedcontent">
    <w:name w:val="markedcontent"/>
    <w:basedOn w:val="DefaultParagraphFont"/>
    <w:rsid w:val="00995F78"/>
  </w:style>
  <w:style w:type="character" w:customStyle="1" w:styleId="Heading1Char">
    <w:name w:val="Heading 1 Char"/>
    <w:basedOn w:val="DefaultParagraphFont"/>
    <w:link w:val="Heading1"/>
    <w:uiPriority w:val="9"/>
    <w:rsid w:val="006F51D8"/>
    <w:rPr>
      <w:rFonts w:ascii="Times New Roman" w:eastAsia="Times New Roman" w:hAnsi="Times New Roman" w:cs="Times New Roman"/>
      <w:b/>
      <w:bCs/>
      <w:kern w:val="36"/>
      <w:sz w:val="48"/>
      <w:szCs w:val="48"/>
      <w:lang w:val="x-none" w:eastAsia="x-none"/>
    </w:rPr>
  </w:style>
  <w:style w:type="paragraph" w:styleId="NormalWeb">
    <w:name w:val="Normal (Web)"/>
    <w:basedOn w:val="Normal"/>
    <w:uiPriority w:val="99"/>
    <w:unhideWhenUsed/>
    <w:rsid w:val="00701A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B0B09"/>
    <w:pPr>
      <w:spacing w:after="200" w:line="276" w:lineRule="auto"/>
      <w:ind w:left="720"/>
      <w:contextualSpacing/>
    </w:pPr>
    <w:rPr>
      <w:rFonts w:eastAsiaTheme="minorEastAsia"/>
    </w:rPr>
  </w:style>
  <w:style w:type="paragraph" w:styleId="NoSpacing">
    <w:name w:val="No Spacing"/>
    <w:link w:val="NoSpacingChar"/>
    <w:uiPriority w:val="1"/>
    <w:qFormat/>
    <w:rsid w:val="00EB0B09"/>
    <w:pPr>
      <w:spacing w:after="0" w:line="240" w:lineRule="auto"/>
    </w:pPr>
    <w:rPr>
      <w:rFonts w:eastAsiaTheme="minorEastAsia"/>
    </w:rPr>
  </w:style>
  <w:style w:type="character" w:customStyle="1" w:styleId="ListParagraphChar">
    <w:name w:val="List Paragraph Char"/>
    <w:basedOn w:val="DefaultParagraphFont"/>
    <w:link w:val="ListParagraph"/>
    <w:uiPriority w:val="34"/>
    <w:locked/>
    <w:rsid w:val="00EB0B09"/>
    <w:rPr>
      <w:rFonts w:eastAsiaTheme="minorEastAsia"/>
      <w:lang w:val="en-US"/>
    </w:rPr>
  </w:style>
  <w:style w:type="character" w:customStyle="1" w:styleId="NoSpacingChar">
    <w:name w:val="No Spacing Char"/>
    <w:basedOn w:val="DefaultParagraphFont"/>
    <w:link w:val="NoSpacing"/>
    <w:uiPriority w:val="1"/>
    <w:locked/>
    <w:rsid w:val="00EB0B09"/>
    <w:rPr>
      <w:rFonts w:eastAsiaTheme="minorEastAsia"/>
      <w:lang w:val="en-US"/>
    </w:rPr>
  </w:style>
  <w:style w:type="character" w:styleId="Hyperlink">
    <w:name w:val="Hyperlink"/>
    <w:basedOn w:val="DefaultParagraphFont"/>
    <w:uiPriority w:val="99"/>
    <w:unhideWhenUsed/>
    <w:rsid w:val="002D6A15"/>
    <w:rPr>
      <w:color w:val="0563C1" w:themeColor="hyperlink"/>
      <w:u w:val="single"/>
    </w:rPr>
  </w:style>
  <w:style w:type="paragraph" w:styleId="Header">
    <w:name w:val="header"/>
    <w:basedOn w:val="Normal"/>
    <w:link w:val="HeaderChar"/>
    <w:uiPriority w:val="99"/>
    <w:unhideWhenUsed/>
    <w:rsid w:val="00F95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204"/>
  </w:style>
  <w:style w:type="paragraph" w:styleId="Footer">
    <w:name w:val="footer"/>
    <w:basedOn w:val="Normal"/>
    <w:link w:val="FooterChar"/>
    <w:uiPriority w:val="99"/>
    <w:unhideWhenUsed/>
    <w:rsid w:val="00F95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204"/>
  </w:style>
  <w:style w:type="paragraph" w:styleId="BalloonText">
    <w:name w:val="Balloon Text"/>
    <w:basedOn w:val="Normal"/>
    <w:link w:val="BalloonTextChar"/>
    <w:uiPriority w:val="99"/>
    <w:semiHidden/>
    <w:unhideWhenUsed/>
    <w:rsid w:val="006B12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2D2"/>
    <w:rPr>
      <w:rFonts w:ascii="Segoe UI" w:hAnsi="Segoe UI" w:cs="Segoe UI"/>
      <w:sz w:val="18"/>
      <w:szCs w:val="18"/>
    </w:rPr>
  </w:style>
  <w:style w:type="character" w:customStyle="1" w:styleId="UnresolvedMention1">
    <w:name w:val="Unresolved Mention1"/>
    <w:basedOn w:val="DefaultParagraphFont"/>
    <w:uiPriority w:val="99"/>
    <w:semiHidden/>
    <w:unhideWhenUsed/>
    <w:rsid w:val="00736419"/>
    <w:rPr>
      <w:color w:val="605E5C"/>
      <w:shd w:val="clear" w:color="auto" w:fill="E1DFDD"/>
    </w:rPr>
  </w:style>
  <w:style w:type="paragraph" w:styleId="CommentText">
    <w:name w:val="annotation text"/>
    <w:basedOn w:val="Normal"/>
    <w:link w:val="CommentTextChar"/>
    <w:uiPriority w:val="99"/>
    <w:semiHidden/>
    <w:unhideWhenUsed/>
    <w:rsid w:val="00092F22"/>
    <w:pPr>
      <w:spacing w:line="240" w:lineRule="auto"/>
    </w:pPr>
    <w:rPr>
      <w:sz w:val="20"/>
      <w:szCs w:val="20"/>
    </w:rPr>
  </w:style>
  <w:style w:type="character" w:customStyle="1" w:styleId="CommentTextChar">
    <w:name w:val="Comment Text Char"/>
    <w:basedOn w:val="DefaultParagraphFont"/>
    <w:link w:val="CommentText"/>
    <w:uiPriority w:val="99"/>
    <w:semiHidden/>
    <w:rsid w:val="00092F22"/>
    <w:rPr>
      <w:sz w:val="20"/>
      <w:szCs w:val="20"/>
    </w:rPr>
  </w:style>
  <w:style w:type="paragraph" w:styleId="CommentSubject">
    <w:name w:val="annotation subject"/>
    <w:basedOn w:val="CommentText"/>
    <w:next w:val="CommentText"/>
    <w:link w:val="CommentSubjectChar"/>
    <w:uiPriority w:val="99"/>
    <w:semiHidden/>
    <w:unhideWhenUsed/>
    <w:rsid w:val="00092F22"/>
    <w:rPr>
      <w:b/>
      <w:bCs/>
    </w:rPr>
  </w:style>
  <w:style w:type="character" w:customStyle="1" w:styleId="CommentSubjectChar">
    <w:name w:val="Comment Subject Char"/>
    <w:basedOn w:val="CommentTextChar"/>
    <w:link w:val="CommentSubject"/>
    <w:uiPriority w:val="99"/>
    <w:semiHidden/>
    <w:rsid w:val="00092F22"/>
    <w:rPr>
      <w:b/>
      <w:bCs/>
      <w:sz w:val="20"/>
      <w:szCs w:val="20"/>
    </w:rPr>
  </w:style>
  <w:style w:type="table" w:styleId="LightShading">
    <w:name w:val="Light Shading"/>
    <w:basedOn w:val="TableNormal"/>
    <w:uiPriority w:val="60"/>
    <w:rsid w:val="008162F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7435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ywuyep5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tende_sam@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E5448-40FB-4530-AE17-1AB75B022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5888</Words>
  <Characters>33562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Isaac  Opusunju</dc:creator>
  <cp:lastModifiedBy>PC</cp:lastModifiedBy>
  <cp:revision>2</cp:revision>
  <cp:lastPrinted>2023-01-19T08:49:00Z</cp:lastPrinted>
  <dcterms:created xsi:type="dcterms:W3CDTF">2023-03-23T14:07:00Z</dcterms:created>
  <dcterms:modified xsi:type="dcterms:W3CDTF">2023-03-23T14:07:00Z</dcterms:modified>
</cp:coreProperties>
</file>